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2A" w:rsidRPr="00A17E17" w:rsidRDefault="003C162A" w:rsidP="00A66D9F">
      <w:pPr>
        <w:rPr>
          <w:b/>
        </w:rPr>
      </w:pPr>
    </w:p>
    <w:p w:rsidR="003C162A" w:rsidRPr="00A17E17" w:rsidRDefault="00C16909" w:rsidP="003C162A">
      <w:pPr>
        <w:rPr>
          <w:b/>
        </w:rPr>
      </w:pPr>
      <w:r>
        <w:rPr>
          <w:b/>
        </w:rPr>
        <w:t xml:space="preserve">Appendix 2 - </w:t>
      </w:r>
      <w:r w:rsidR="003C162A" w:rsidRPr="00A17E17">
        <w:rPr>
          <w:b/>
        </w:rPr>
        <w:t>No Local Connection Review Group</w:t>
      </w:r>
      <w:r>
        <w:rPr>
          <w:b/>
        </w:rPr>
        <w:t xml:space="preserve"> report from the meeting held on </w:t>
      </w:r>
      <w:r w:rsidR="003C162A" w:rsidRPr="00A17E17">
        <w:rPr>
          <w:b/>
        </w:rPr>
        <w:t xml:space="preserve">19 </w:t>
      </w:r>
      <w:proofErr w:type="gramStart"/>
      <w:r w:rsidR="003C162A" w:rsidRPr="00A17E17">
        <w:rPr>
          <w:b/>
        </w:rPr>
        <w:t xml:space="preserve">July </w:t>
      </w:r>
      <w:r>
        <w:rPr>
          <w:b/>
        </w:rPr>
        <w:t>)background</w:t>
      </w:r>
      <w:proofErr w:type="gramEnd"/>
      <w:r>
        <w:rPr>
          <w:b/>
        </w:rPr>
        <w:t xml:space="preserve"> information)</w:t>
      </w:r>
    </w:p>
    <w:p w:rsidR="003C162A" w:rsidRPr="00A17E17" w:rsidRDefault="003C162A" w:rsidP="003C162A">
      <w:pPr>
        <w:rPr>
          <w:b/>
        </w:rPr>
      </w:pPr>
    </w:p>
    <w:p w:rsidR="003C162A" w:rsidRPr="00A17E17" w:rsidRDefault="003C162A" w:rsidP="003C162A">
      <w:pPr>
        <w:ind w:left="318"/>
        <w:rPr>
          <w:b/>
        </w:rPr>
      </w:pPr>
    </w:p>
    <w:p w:rsidR="00A66D9F" w:rsidRPr="00F94238" w:rsidRDefault="00A66D9F" w:rsidP="00A66D9F">
      <w:pPr>
        <w:numPr>
          <w:ilvl w:val="0"/>
          <w:numId w:val="1"/>
        </w:numPr>
        <w:ind w:left="318" w:hanging="284"/>
        <w:rPr>
          <w:b/>
        </w:rPr>
      </w:pPr>
      <w:r w:rsidRPr="00F94238">
        <w:rPr>
          <w:b/>
        </w:rPr>
        <w:t xml:space="preserve">What provision is </w:t>
      </w:r>
      <w:r w:rsidRPr="00F94238">
        <w:rPr>
          <w:b/>
          <w:u w:val="single"/>
        </w:rPr>
        <w:t>already</w:t>
      </w:r>
      <w:r w:rsidRPr="00F94238">
        <w:rPr>
          <w:b/>
        </w:rPr>
        <w:t xml:space="preserve"> in place to support rough sleepers without a local </w:t>
      </w:r>
      <w:r w:rsidR="00E64B1D" w:rsidRPr="00F94238">
        <w:rPr>
          <w:b/>
        </w:rPr>
        <w:t>connection?</w:t>
      </w:r>
    </w:p>
    <w:p w:rsidR="00A17E17" w:rsidRDefault="00A17E17" w:rsidP="00A17E17">
      <w:pPr>
        <w:rPr>
          <w:b/>
          <w:color w:val="1F497D" w:themeColor="text2"/>
        </w:rPr>
      </w:pPr>
    </w:p>
    <w:p w:rsidR="00F50DA2" w:rsidRDefault="00F50DA2" w:rsidP="00A17E17">
      <w:pPr>
        <w:rPr>
          <w:b/>
          <w:color w:val="1F497D" w:themeColor="text2"/>
        </w:rPr>
      </w:pPr>
    </w:p>
    <w:p w:rsidR="00F50DA2" w:rsidRPr="00C95D38" w:rsidRDefault="00596C5B" w:rsidP="00A17E17">
      <w:pPr>
        <w:rPr>
          <w:b/>
        </w:rPr>
      </w:pPr>
      <w:r w:rsidRPr="00C95D38">
        <w:rPr>
          <w:b/>
        </w:rPr>
        <w:t>Introduction</w:t>
      </w:r>
    </w:p>
    <w:p w:rsidR="00AA5C4F" w:rsidRDefault="00AA5C4F" w:rsidP="0092010F">
      <w:pPr>
        <w:ind w:left="318"/>
        <w:rPr>
          <w:b/>
          <w:color w:val="000000" w:themeColor="text1"/>
          <w:sz w:val="22"/>
          <w:szCs w:val="22"/>
        </w:rPr>
      </w:pPr>
    </w:p>
    <w:p w:rsidR="0092010F" w:rsidRDefault="0092010F" w:rsidP="00F94238">
      <w:r>
        <w:t>In order for an individual to access supported accommodation for single homeless /rough sleepers in Oxford, they need to</w:t>
      </w:r>
      <w:r w:rsidR="00596C5B">
        <w:t xml:space="preserve"> meet eligibility criteria. This means they need to</w:t>
      </w:r>
      <w:r>
        <w:t xml:space="preserve"> have a local connection as set out in the City’s Allocations Scheme or </w:t>
      </w:r>
      <w:r w:rsidR="00F07CDF">
        <w:t xml:space="preserve">to </w:t>
      </w:r>
      <w:r>
        <w:t>fulfil the criteria for a ‘homeless pathway connection’. A pathway connection is a less strict set of criteria than the ‘local connection’.</w:t>
      </w:r>
      <w:r w:rsidR="00F10B56">
        <w:t xml:space="preserve"> </w:t>
      </w:r>
      <w:r w:rsidR="00596C5B">
        <w:t xml:space="preserve">They also need to be in receipt of benefits (and so have recourse to public funds). </w:t>
      </w:r>
      <w:r w:rsidR="00F10B56">
        <w:t xml:space="preserve"> </w:t>
      </w:r>
    </w:p>
    <w:p w:rsidR="00F10B56" w:rsidRDefault="00F10B56" w:rsidP="00F94238"/>
    <w:p w:rsidR="00596C5B" w:rsidRDefault="00F50DA2" w:rsidP="0019718C">
      <w:r>
        <w:t xml:space="preserve">Some commissioned services </w:t>
      </w:r>
      <w:r w:rsidR="00596C5B">
        <w:t>can be accessed by those with and those without a local connection (or recourse)</w:t>
      </w:r>
      <w:r>
        <w:t xml:space="preserve">, including the sit-up service (where the client is engaging) and day centre services. </w:t>
      </w:r>
    </w:p>
    <w:p w:rsidR="00596C5B" w:rsidRDefault="00596C5B" w:rsidP="0092010F">
      <w:pPr>
        <w:ind w:left="318"/>
      </w:pPr>
    </w:p>
    <w:p w:rsidR="00596C5B" w:rsidRDefault="00596C5B" w:rsidP="0019718C">
      <w:r>
        <w:t xml:space="preserve">Further detail is provided in the sections below about winter provision which is open to those without </w:t>
      </w:r>
      <w:r w:rsidR="002243A8">
        <w:t>eligibility</w:t>
      </w:r>
      <w:r>
        <w:t xml:space="preserve">. Information has also been provided about </w:t>
      </w:r>
      <w:r w:rsidR="002243A8">
        <w:t xml:space="preserve">some of the </w:t>
      </w:r>
      <w:r>
        <w:t>accommodation units which are being commissioned through a specific MHCLG budget, and where the usual rules on eligibility will not apply</w:t>
      </w:r>
    </w:p>
    <w:p w:rsidR="00596C5B" w:rsidRDefault="00596C5B" w:rsidP="0092010F">
      <w:pPr>
        <w:ind w:left="318"/>
      </w:pPr>
    </w:p>
    <w:p w:rsidR="0092010F" w:rsidRDefault="00F50DA2" w:rsidP="00C95D38">
      <w:r>
        <w:t xml:space="preserve">A summary of </w:t>
      </w:r>
      <w:r w:rsidR="00596C5B">
        <w:t xml:space="preserve">all </w:t>
      </w:r>
      <w:r>
        <w:t>services can be found in Table One</w:t>
      </w:r>
    </w:p>
    <w:p w:rsidR="00F50DA2" w:rsidRDefault="00F50DA2" w:rsidP="0092010F">
      <w:pPr>
        <w:ind w:left="318"/>
      </w:pPr>
    </w:p>
    <w:p w:rsidR="00E64B1D" w:rsidRPr="00A17E17" w:rsidRDefault="00F07CDF" w:rsidP="00F94238">
      <w:pPr>
        <w:rPr>
          <w:b/>
        </w:rPr>
      </w:pPr>
      <w:r>
        <w:rPr>
          <w:b/>
        </w:rPr>
        <w:t>Winter Provision</w:t>
      </w:r>
    </w:p>
    <w:p w:rsidR="00B53D71" w:rsidRDefault="00B53D71" w:rsidP="00F94238">
      <w:pPr>
        <w:rPr>
          <w:sz w:val="22"/>
          <w:szCs w:val="22"/>
        </w:rPr>
      </w:pPr>
    </w:p>
    <w:p w:rsidR="00596C5B" w:rsidRPr="006005D6" w:rsidRDefault="006005D6" w:rsidP="00596C5B">
      <w:r>
        <w:t xml:space="preserve">Oxford City Council </w:t>
      </w:r>
      <w:r w:rsidR="00F07CDF">
        <w:t xml:space="preserve">has </w:t>
      </w:r>
      <w:r>
        <w:t xml:space="preserve">a </w:t>
      </w:r>
      <w:r w:rsidR="00B53D71" w:rsidRPr="00B53D71">
        <w:t xml:space="preserve">Severe Weather Emergency Protocol (SWEP) </w:t>
      </w:r>
      <w:r>
        <w:t xml:space="preserve">which </w:t>
      </w:r>
      <w:r w:rsidR="00B53D71" w:rsidRPr="00B53D71">
        <w:t>sets out what Oxford City Council and local partner homelessness organisations will do to ensure there is provision of extra bed spac</w:t>
      </w:r>
      <w:r w:rsidR="0092010F">
        <w:t>es for rough sleepers during adverse weather conditions.</w:t>
      </w:r>
      <w:r w:rsidR="00596C5B" w:rsidRPr="00596C5B">
        <w:t xml:space="preserve"> </w:t>
      </w:r>
      <w:r w:rsidR="00596C5B" w:rsidRPr="006005D6">
        <w:t>During 2017-18, 144 individuals accessed SWEP – the highest number ever</w:t>
      </w:r>
      <w:r w:rsidR="00596C5B">
        <w:t xml:space="preserve"> – and accommodation was provided for a total of827 nights</w:t>
      </w:r>
      <w:r w:rsidR="00596C5B" w:rsidRPr="006005D6">
        <w:t xml:space="preserve">. </w:t>
      </w:r>
    </w:p>
    <w:p w:rsidR="0092010F" w:rsidRDefault="0092010F" w:rsidP="00C95D38"/>
    <w:p w:rsidR="001A6160" w:rsidRDefault="0092010F" w:rsidP="001A6160">
      <w:r>
        <w:t>SWEP is available to people regardless of their local connection</w:t>
      </w:r>
      <w:r w:rsidR="001A6160">
        <w:t xml:space="preserve"> and has </w:t>
      </w:r>
      <w:r w:rsidR="001A6160" w:rsidRPr="006005D6">
        <w:t xml:space="preserve">always been used by a high proportion of clients with a connection to </w:t>
      </w:r>
      <w:r w:rsidR="001A6160">
        <w:t>areas</w:t>
      </w:r>
      <w:r w:rsidR="001A6160" w:rsidRPr="006005D6">
        <w:t xml:space="preserve"> outside Oxfordshire and by </w:t>
      </w:r>
      <w:r w:rsidR="001A6160">
        <w:t>clients who are EEA nationals</w:t>
      </w:r>
      <w:r w:rsidR="002243A8">
        <w:t xml:space="preserve"> without recourse to public funds</w:t>
      </w:r>
      <w:r w:rsidR="001A6160">
        <w:t>.  M</w:t>
      </w:r>
      <w:r w:rsidR="001A6160" w:rsidRPr="006C7754">
        <w:t>ost of those accessing SWEP</w:t>
      </w:r>
      <w:r w:rsidR="001A6160">
        <w:t xml:space="preserve"> in 2017-18</w:t>
      </w:r>
      <w:r w:rsidR="001A6160" w:rsidRPr="006C7754">
        <w:t xml:space="preserve"> did not have a connection to Oxford</w:t>
      </w:r>
      <w:proofErr w:type="gramStart"/>
      <w:r w:rsidR="001A6160" w:rsidRPr="006C7754">
        <w:t>.</w:t>
      </w:r>
      <w:r>
        <w:t>.</w:t>
      </w:r>
      <w:proofErr w:type="gramEnd"/>
      <w:r>
        <w:t xml:space="preserve"> </w:t>
      </w:r>
      <w:r w:rsidR="00F50DA2" w:rsidRPr="006C7754">
        <w:t>Many had a connection to other Oxfordshire districts but over a quarter had no connection to Oxfordshire. Many clients were still waiting for confirmation of their connection status</w:t>
      </w:r>
      <w:r w:rsidR="00F50DA2">
        <w:t xml:space="preserve">. </w:t>
      </w:r>
    </w:p>
    <w:p w:rsidR="002243A8" w:rsidRDefault="002243A8" w:rsidP="001A6160"/>
    <w:p w:rsidR="002243A8" w:rsidRPr="006C7754" w:rsidRDefault="002243A8" w:rsidP="001A6160">
      <w:r>
        <w:t>In addition, in 2017/18 the Oxford Win</w:t>
      </w:r>
      <w:r w:rsidR="0019718C">
        <w:t>t</w:t>
      </w:r>
      <w:r>
        <w:t xml:space="preserve">er Night Shelter (OWNS) operated between January and March, providing shelter to ten individuals across churches in Oxford. This service was provided without funding from the City Council and was open to all rough sleepers regardless of eligibility.  It is proposed that this service will expand in 2018/19. </w:t>
      </w:r>
    </w:p>
    <w:p w:rsidR="0092010F" w:rsidRDefault="0092010F" w:rsidP="00F94238"/>
    <w:p w:rsidR="00B3695D" w:rsidRDefault="00B3695D" w:rsidP="006C7754">
      <w:pPr>
        <w:rPr>
          <w:b/>
        </w:rPr>
      </w:pPr>
    </w:p>
    <w:p w:rsidR="006C7754" w:rsidRPr="00B3695D" w:rsidRDefault="006C7754" w:rsidP="006C7754">
      <w:pPr>
        <w:rPr>
          <w:b/>
        </w:rPr>
      </w:pPr>
      <w:r w:rsidRPr="00B3695D">
        <w:rPr>
          <w:b/>
        </w:rPr>
        <w:t>MHCLG Bid</w:t>
      </w:r>
    </w:p>
    <w:p w:rsidR="006C7754" w:rsidRDefault="006C7754" w:rsidP="006C7754"/>
    <w:p w:rsidR="006C7754" w:rsidRDefault="006C7754" w:rsidP="006C7754">
      <w:r w:rsidRPr="006C7754">
        <w:rPr>
          <w:bCs/>
        </w:rPr>
        <w:t>Oxford City Council has been awarded £502,983</w:t>
      </w:r>
      <w:r w:rsidRPr="006C7754">
        <w:t xml:space="preserve"> by MHCLG to fund services to prevent and relieve rough sleeping </w:t>
      </w:r>
      <w:r w:rsidR="001A6160">
        <w:t>over the winter</w:t>
      </w:r>
      <w:r w:rsidRPr="006C7754">
        <w:t xml:space="preserve"> of 18/19. </w:t>
      </w:r>
    </w:p>
    <w:p w:rsidR="006C7754" w:rsidRDefault="006C7754" w:rsidP="006C7754"/>
    <w:p w:rsidR="001A6160" w:rsidRPr="006C7754" w:rsidRDefault="006C7754" w:rsidP="001A6160">
      <w:r>
        <w:t>This money will support OCC to provide a Hub in the city for Rough sleepe</w:t>
      </w:r>
      <w:r w:rsidR="00B3695D">
        <w:t>rs where they can access a number of</w:t>
      </w:r>
      <w:r>
        <w:t xml:space="preserve"> </w:t>
      </w:r>
      <w:r w:rsidR="00B3695D">
        <w:t xml:space="preserve">support </w:t>
      </w:r>
      <w:r>
        <w:t>services</w:t>
      </w:r>
      <w:r w:rsidR="00E754B9">
        <w:t xml:space="preserve">. </w:t>
      </w:r>
      <w:r w:rsidR="00596C5B">
        <w:t>It is also being used to commission</w:t>
      </w:r>
      <w:r w:rsidR="00B3695D">
        <w:t xml:space="preserve"> supported accommodation in the city</w:t>
      </w:r>
      <w:r w:rsidR="00596C5B">
        <w:t>.</w:t>
      </w:r>
      <w:r w:rsidR="001A6160">
        <w:t xml:space="preserve"> </w:t>
      </w:r>
      <w:r w:rsidR="00B3695D">
        <w:t xml:space="preserve"> </w:t>
      </w:r>
      <w:r w:rsidR="001A6160">
        <w:t xml:space="preserve">Some </w:t>
      </w:r>
      <w:r w:rsidR="00596C5B">
        <w:t xml:space="preserve">units </w:t>
      </w:r>
      <w:r w:rsidR="001A6160">
        <w:t>are</w:t>
      </w:r>
      <w:r w:rsidR="00596C5B">
        <w:t xml:space="preserve"> being commissioned </w:t>
      </w:r>
      <w:r w:rsidR="001A6160">
        <w:t xml:space="preserve">to meet the needs of </w:t>
      </w:r>
      <w:r w:rsidR="00596C5B">
        <w:t xml:space="preserve">eligible rough </w:t>
      </w:r>
      <w:proofErr w:type="gramStart"/>
      <w:r w:rsidR="00596C5B">
        <w:t>sleepers,</w:t>
      </w:r>
      <w:proofErr w:type="gramEnd"/>
      <w:r w:rsidR="00596C5B">
        <w:t xml:space="preserve"> </w:t>
      </w:r>
      <w:r w:rsidR="001A6160">
        <w:t xml:space="preserve">however others will </w:t>
      </w:r>
      <w:r w:rsidR="00596C5B">
        <w:t xml:space="preserve">specifically </w:t>
      </w:r>
      <w:r w:rsidR="001A6160">
        <w:t>be open to some rough sleepers without a local connection</w:t>
      </w:r>
      <w:r w:rsidR="00596C5B">
        <w:t xml:space="preserve"> and/or recourse to public funds</w:t>
      </w:r>
      <w:r w:rsidR="001A6160">
        <w:t>.  Table 1 provides further information on this.</w:t>
      </w:r>
    </w:p>
    <w:p w:rsidR="006005D6" w:rsidRPr="006005D6" w:rsidRDefault="006005D6" w:rsidP="006005D6">
      <w:pPr>
        <w:rPr>
          <w:b/>
        </w:rPr>
      </w:pPr>
    </w:p>
    <w:p w:rsidR="0019718C" w:rsidRPr="00D43893" w:rsidRDefault="0019718C" w:rsidP="00E64B1D">
      <w:pPr>
        <w:rPr>
          <w:b/>
        </w:rPr>
      </w:pPr>
    </w:p>
    <w:p w:rsidR="00934872" w:rsidRPr="00F94238" w:rsidRDefault="00A66D9F" w:rsidP="00934872">
      <w:pPr>
        <w:numPr>
          <w:ilvl w:val="0"/>
          <w:numId w:val="1"/>
        </w:numPr>
        <w:ind w:left="318" w:hanging="284"/>
        <w:rPr>
          <w:b/>
          <w:szCs w:val="22"/>
        </w:rPr>
      </w:pPr>
      <w:r w:rsidRPr="00F94238">
        <w:rPr>
          <w:b/>
          <w:szCs w:val="22"/>
        </w:rPr>
        <w:t>How homelessness services are funded</w:t>
      </w:r>
      <w:r w:rsidR="00031D02" w:rsidRPr="00F94238">
        <w:rPr>
          <w:b/>
          <w:szCs w:val="22"/>
        </w:rPr>
        <w:t>?</w:t>
      </w:r>
    </w:p>
    <w:p w:rsidR="00FE7DBD" w:rsidRDefault="00FE7DBD" w:rsidP="00FE7DBD">
      <w:pPr>
        <w:rPr>
          <w:b/>
          <w:color w:val="1F497D" w:themeColor="text2"/>
          <w:szCs w:val="22"/>
        </w:rPr>
      </w:pPr>
    </w:p>
    <w:p w:rsidR="00994D72" w:rsidRPr="00F94238" w:rsidRDefault="00994D72" w:rsidP="00FE7DBD">
      <w:pPr>
        <w:rPr>
          <w:szCs w:val="22"/>
        </w:rPr>
      </w:pPr>
      <w:r w:rsidRPr="00F94238">
        <w:rPr>
          <w:szCs w:val="22"/>
        </w:rPr>
        <w:t>Historically,</w:t>
      </w:r>
      <w:r w:rsidRPr="00F94238">
        <w:rPr>
          <w:b/>
          <w:szCs w:val="22"/>
        </w:rPr>
        <w:t xml:space="preserve"> </w:t>
      </w:r>
      <w:r w:rsidRPr="00F94238">
        <w:rPr>
          <w:szCs w:val="22"/>
        </w:rPr>
        <w:t xml:space="preserve">the County Council commissioned </w:t>
      </w:r>
      <w:proofErr w:type="gramStart"/>
      <w:r w:rsidRPr="00F94238">
        <w:rPr>
          <w:szCs w:val="22"/>
        </w:rPr>
        <w:t>most  services</w:t>
      </w:r>
      <w:proofErr w:type="gramEnd"/>
      <w:r w:rsidRPr="00F94238">
        <w:rPr>
          <w:szCs w:val="22"/>
        </w:rPr>
        <w:t xml:space="preserve"> for single homeless people from Supporting People funding.  In recent years, this funding envelope has reduced significantly, with the Council proposing to cease funding entirely from 2019/20 on</w:t>
      </w:r>
      <w:r w:rsidR="00E754B9">
        <w:rPr>
          <w:szCs w:val="22"/>
        </w:rPr>
        <w:t>wards</w:t>
      </w:r>
      <w:r w:rsidRPr="00F94238">
        <w:rPr>
          <w:szCs w:val="22"/>
        </w:rPr>
        <w:t>.  From 17/18 a pooled budget arrangement was agreed between all the Oxfordshire district councils; the county council and clinical commissioning group, to continue to fund the Adult Homeless Pathway.</w:t>
      </w:r>
    </w:p>
    <w:p w:rsidR="00994D72" w:rsidRPr="00F94238" w:rsidRDefault="00994D72" w:rsidP="00FE7DBD">
      <w:pPr>
        <w:rPr>
          <w:szCs w:val="22"/>
        </w:rPr>
      </w:pPr>
    </w:p>
    <w:p w:rsidR="00994D72" w:rsidRPr="00F94238" w:rsidRDefault="00994D72" w:rsidP="00FE7DBD">
      <w:pPr>
        <w:rPr>
          <w:szCs w:val="22"/>
        </w:rPr>
      </w:pPr>
      <w:r w:rsidRPr="00F94238">
        <w:rPr>
          <w:szCs w:val="22"/>
        </w:rPr>
        <w:t xml:space="preserve">The City Council has re-shaped its own commissioning strategy in light of this and has prioritised funding into accommodation based support for </w:t>
      </w:r>
      <w:r w:rsidR="00E754B9">
        <w:rPr>
          <w:szCs w:val="22"/>
        </w:rPr>
        <w:t>rough sleepers</w:t>
      </w:r>
      <w:r w:rsidRPr="00F94238">
        <w:rPr>
          <w:szCs w:val="22"/>
        </w:rPr>
        <w:t>, to ensure adequacy of provision for city-connected clients going forward.  The beds that the City Council commission are aligned with the pooled commissioning to offer clients</w:t>
      </w:r>
      <w:r w:rsidR="00E754B9">
        <w:rPr>
          <w:szCs w:val="22"/>
        </w:rPr>
        <w:t xml:space="preserve"> access to</w:t>
      </w:r>
      <w:r w:rsidRPr="00F94238">
        <w:rPr>
          <w:szCs w:val="22"/>
        </w:rPr>
        <w:t xml:space="preserve"> an expanded pathway if they have a city connection.</w:t>
      </w:r>
    </w:p>
    <w:p w:rsidR="00994D72" w:rsidRPr="00BA6576" w:rsidRDefault="00994D72" w:rsidP="00FE7DBD">
      <w:pPr>
        <w:rPr>
          <w:color w:val="1F497D" w:themeColor="text2"/>
          <w:szCs w:val="22"/>
        </w:rPr>
      </w:pPr>
    </w:p>
    <w:p w:rsidR="00FE7DBD" w:rsidRPr="00FE7DBD" w:rsidRDefault="00994D72" w:rsidP="00FE7DBD">
      <w:pPr>
        <w:tabs>
          <w:tab w:val="left" w:pos="426"/>
        </w:tabs>
        <w:spacing w:after="120"/>
        <w:rPr>
          <w:rFonts w:eastAsia="Times New Roman" w:cs="Times New Roman"/>
          <w:color w:val="000000"/>
          <w:lang w:eastAsia="en-GB"/>
        </w:rPr>
      </w:pPr>
      <w:r>
        <w:rPr>
          <w:rFonts w:eastAsia="Times New Roman" w:cs="Times New Roman"/>
          <w:color w:val="000000"/>
          <w:lang w:eastAsia="en-GB"/>
        </w:rPr>
        <w:t>Oxford City</w:t>
      </w:r>
      <w:r w:rsidRPr="00FE7DBD">
        <w:rPr>
          <w:rFonts w:eastAsia="Times New Roman" w:cs="Times New Roman"/>
          <w:color w:val="000000"/>
          <w:lang w:eastAsia="en-GB"/>
        </w:rPr>
        <w:t xml:space="preserve"> </w:t>
      </w:r>
      <w:r w:rsidR="00FE7DBD" w:rsidRPr="00FE7DBD">
        <w:rPr>
          <w:rFonts w:eastAsia="Times New Roman" w:cs="Times New Roman"/>
          <w:color w:val="000000"/>
          <w:lang w:eastAsia="en-GB"/>
        </w:rPr>
        <w:t>Council agreed its budget and Medium Term Financial Plan for the period 2018-19 to 2021-22 which included a base budget of provision of £941k per annum. A further commissioning budget is also available from the Council’s own grant budget of £442,279.</w:t>
      </w:r>
    </w:p>
    <w:p w:rsidR="00FE7DBD" w:rsidRPr="00FE7DBD" w:rsidRDefault="00994D72" w:rsidP="00FE7DBD">
      <w:pPr>
        <w:tabs>
          <w:tab w:val="left" w:pos="426"/>
        </w:tabs>
        <w:spacing w:after="120"/>
        <w:rPr>
          <w:rFonts w:eastAsia="Times New Roman" w:cs="Times New Roman"/>
          <w:color w:val="000000"/>
          <w:lang w:eastAsia="en-GB"/>
        </w:rPr>
      </w:pPr>
      <w:r w:rsidRPr="007B3D7A">
        <w:rPr>
          <w:rFonts w:eastAsia="Times New Roman"/>
          <w:color w:val="000000"/>
          <w:lang w:eastAsia="en-GB"/>
        </w:rPr>
        <w:t xml:space="preserve">The strategic framework within which these funds are allocated remains the same, providing a total budget for 2018/19 of approximately </w:t>
      </w:r>
      <w:r w:rsidRPr="007B3D7A">
        <w:rPr>
          <w:rFonts w:eastAsia="Times New Roman"/>
          <w:b/>
          <w:color w:val="000000"/>
          <w:lang w:eastAsia="en-GB"/>
        </w:rPr>
        <w:t>£1,834,853</w:t>
      </w:r>
      <w:r w:rsidR="00E754B9">
        <w:rPr>
          <w:rFonts w:eastAsia="Times New Roman"/>
          <w:color w:val="000000"/>
          <w:lang w:eastAsia="en-GB"/>
        </w:rPr>
        <w:t xml:space="preserve">. </w:t>
      </w:r>
      <w:r w:rsidR="00C95D38">
        <w:rPr>
          <w:rFonts w:eastAsia="Times New Roman"/>
          <w:color w:val="000000"/>
          <w:lang w:eastAsia="en-GB"/>
        </w:rPr>
        <w:t>This</w:t>
      </w:r>
      <w:r w:rsidR="00C95D38" w:rsidRPr="007B3D7A">
        <w:rPr>
          <w:rFonts w:eastAsia="Times New Roman"/>
          <w:color w:val="000000"/>
          <w:lang w:eastAsia="en-GB"/>
        </w:rPr>
        <w:t xml:space="preserve"> represen</w:t>
      </w:r>
      <w:r w:rsidR="00C95D38">
        <w:rPr>
          <w:rFonts w:eastAsia="Times New Roman"/>
          <w:color w:val="000000"/>
          <w:lang w:eastAsia="en-GB"/>
        </w:rPr>
        <w:t>ts</w:t>
      </w:r>
      <w:r w:rsidR="00E754B9" w:rsidRPr="007B3D7A">
        <w:rPr>
          <w:rFonts w:eastAsia="Times New Roman"/>
          <w:color w:val="000000"/>
          <w:lang w:eastAsia="en-GB"/>
        </w:rPr>
        <w:t xml:space="preserve"> </w:t>
      </w:r>
      <w:r w:rsidRPr="007B3D7A">
        <w:rPr>
          <w:rFonts w:eastAsia="Times New Roman"/>
          <w:color w:val="000000"/>
          <w:lang w:eastAsia="en-GB"/>
        </w:rPr>
        <w:t xml:space="preserve">a total increase of £100,000 on the 2017/18 budget </w:t>
      </w:r>
      <w:r w:rsidR="00E754B9">
        <w:rPr>
          <w:rFonts w:eastAsia="Times New Roman"/>
          <w:color w:val="000000"/>
          <w:lang w:eastAsia="en-GB"/>
        </w:rPr>
        <w:t>(</w:t>
      </w:r>
      <w:r w:rsidRPr="007B3D7A">
        <w:rPr>
          <w:rFonts w:eastAsia="Times New Roman"/>
          <w:color w:val="000000"/>
          <w:lang w:eastAsia="en-GB"/>
        </w:rPr>
        <w:t>excluding the proposed managed carry forward of funds from and reserves committed to the Acacia Housing First Project in 2017/18</w:t>
      </w:r>
      <w:r w:rsidR="00E754B9">
        <w:rPr>
          <w:rFonts w:eastAsia="Times New Roman"/>
          <w:color w:val="000000"/>
          <w:lang w:eastAsia="en-GB"/>
        </w:rPr>
        <w:t>)</w:t>
      </w:r>
      <w:r w:rsidRPr="007B3D7A">
        <w:rPr>
          <w:rFonts w:eastAsia="Times New Roman"/>
          <w:color w:val="000000"/>
          <w:lang w:eastAsia="en-GB"/>
        </w:rPr>
        <w:t xml:space="preserve">. </w:t>
      </w:r>
      <w:r w:rsidRPr="007B3D7A">
        <w:rPr>
          <w:rFonts w:eastAsia="Times New Roman" w:cs="Times New Roman"/>
          <w:color w:val="000000"/>
          <w:lang w:eastAsia="en-GB"/>
        </w:rPr>
        <w:t>A further £200,000 has also been identified in the budget report for inclusion in the base budget from 2019/20 onwards.</w:t>
      </w:r>
    </w:p>
    <w:p w:rsidR="00C95D38" w:rsidRDefault="00FE7DBD" w:rsidP="00C95D38">
      <w:pPr>
        <w:tabs>
          <w:tab w:val="left" w:pos="426"/>
        </w:tabs>
        <w:spacing w:after="120"/>
        <w:rPr>
          <w:rFonts w:eastAsia="Times New Roman" w:cs="Times New Roman"/>
          <w:color w:val="000000"/>
          <w:lang w:eastAsia="en-GB"/>
        </w:rPr>
      </w:pPr>
      <w:r w:rsidRPr="00FE7DBD">
        <w:rPr>
          <w:rFonts w:eastAsia="Times New Roman" w:cs="Times New Roman"/>
          <w:color w:val="000000"/>
          <w:lang w:eastAsia="en-GB"/>
        </w:rPr>
        <w:t xml:space="preserve">In light of the cross-commissioning agenda and cross-strategy advantages of homeless prevention and ending rough sleeping work, a multi-agency steering group </w:t>
      </w:r>
      <w:r w:rsidR="00F10B56" w:rsidRPr="00FE7DBD">
        <w:rPr>
          <w:rFonts w:eastAsia="Times New Roman" w:cs="Times New Roman"/>
          <w:color w:val="000000"/>
          <w:lang w:eastAsia="en-GB"/>
        </w:rPr>
        <w:t>advis</w:t>
      </w:r>
      <w:r w:rsidR="00F10B56">
        <w:rPr>
          <w:rFonts w:eastAsia="Times New Roman" w:cs="Times New Roman"/>
          <w:color w:val="000000"/>
          <w:lang w:eastAsia="en-GB"/>
        </w:rPr>
        <w:t>es</w:t>
      </w:r>
      <w:r w:rsidR="00F10B56" w:rsidRPr="00FE7DBD">
        <w:rPr>
          <w:rFonts w:eastAsia="Times New Roman" w:cs="Times New Roman"/>
          <w:color w:val="000000"/>
          <w:lang w:eastAsia="en-GB"/>
        </w:rPr>
        <w:t xml:space="preserve"> </w:t>
      </w:r>
      <w:r w:rsidRPr="00FE7DBD">
        <w:rPr>
          <w:rFonts w:eastAsia="Times New Roman" w:cs="Times New Roman"/>
          <w:color w:val="000000"/>
          <w:lang w:eastAsia="en-GB"/>
        </w:rPr>
        <w:t>on the monitoring of this</w:t>
      </w:r>
      <w:r w:rsidR="00BA6576">
        <w:rPr>
          <w:rFonts w:eastAsia="Times New Roman" w:cs="Times New Roman"/>
          <w:color w:val="000000"/>
          <w:lang w:eastAsia="en-GB"/>
        </w:rPr>
        <w:t xml:space="preserve"> </w:t>
      </w:r>
      <w:r w:rsidRPr="00FE7DBD">
        <w:rPr>
          <w:rFonts w:eastAsia="Times New Roman" w:cs="Times New Roman"/>
          <w:color w:val="000000"/>
          <w:lang w:eastAsia="en-GB"/>
        </w:rPr>
        <w:t>budget. The group comprises of representatives from Oxford City Council, Oxfordshire County Council Joint Commissioning Team, Public Health and the Oxfordshire Clinical Commissioning Group.</w:t>
      </w:r>
    </w:p>
    <w:p w:rsidR="00F85C83" w:rsidRDefault="00656B7A" w:rsidP="00C95D38">
      <w:pPr>
        <w:tabs>
          <w:tab w:val="left" w:pos="426"/>
        </w:tabs>
        <w:spacing w:after="120"/>
        <w:rPr>
          <w:rFonts w:eastAsia="Times New Roman"/>
          <w:lang w:eastAsia="en-GB"/>
        </w:rPr>
      </w:pPr>
      <w:r w:rsidRPr="00656B7A">
        <w:rPr>
          <w:rFonts w:eastAsia="Times New Roman"/>
          <w:lang w:eastAsia="en-GB"/>
        </w:rPr>
        <w:t xml:space="preserve">Funding targeted at helping existing rough sleepers aims to support them through what is known as the homeless pathway. This is the path from sleeping on the streets; through hostels and supported accommodation; with support services to help </w:t>
      </w:r>
      <w:r w:rsidRPr="00656B7A">
        <w:rPr>
          <w:rFonts w:eastAsia="Times New Roman"/>
          <w:lang w:eastAsia="en-GB"/>
        </w:rPr>
        <w:lastRenderedPageBreak/>
        <w:t>with employment, training, or any substance abuse or mental health issues; and finally to helping people into permanent accommodation and work.</w:t>
      </w:r>
      <w:r w:rsidR="00BA6576">
        <w:rPr>
          <w:rFonts w:eastAsia="Times New Roman"/>
          <w:lang w:eastAsia="en-GB"/>
        </w:rPr>
        <w:t xml:space="preserve"> </w:t>
      </w:r>
    </w:p>
    <w:p w:rsidR="00C95D38" w:rsidRPr="00C95D38" w:rsidRDefault="00C95D38" w:rsidP="00C95D38">
      <w:pPr>
        <w:tabs>
          <w:tab w:val="left" w:pos="426"/>
        </w:tabs>
        <w:spacing w:after="120"/>
        <w:rPr>
          <w:rFonts w:eastAsia="Times New Roman" w:cs="Times New Roman"/>
          <w:color w:val="000000"/>
          <w:lang w:eastAsia="en-GB"/>
        </w:rPr>
      </w:pPr>
      <w:bookmarkStart w:id="0" w:name="_GoBack"/>
      <w:bookmarkEnd w:id="0"/>
    </w:p>
    <w:p w:rsidR="00F85C83" w:rsidRPr="0019718C" w:rsidRDefault="001A6160" w:rsidP="00656B7A">
      <w:pPr>
        <w:spacing w:before="100" w:beforeAutospacing="1" w:after="100" w:afterAutospacing="1"/>
        <w:rPr>
          <w:rFonts w:eastAsia="Times New Roman"/>
          <w:b/>
          <w:u w:val="single"/>
          <w:lang w:eastAsia="en-GB"/>
        </w:rPr>
      </w:pPr>
      <w:r w:rsidRPr="0019718C">
        <w:rPr>
          <w:rFonts w:eastAsia="Times New Roman"/>
          <w:b/>
          <w:u w:val="single"/>
          <w:lang w:eastAsia="en-GB"/>
        </w:rPr>
        <w:t>Table 1</w:t>
      </w:r>
    </w:p>
    <w:p w:rsidR="00D43893" w:rsidRDefault="00656B7A" w:rsidP="00656B7A">
      <w:pPr>
        <w:spacing w:before="100" w:beforeAutospacing="1" w:after="100" w:afterAutospacing="1"/>
        <w:rPr>
          <w:rFonts w:eastAsia="Times New Roman"/>
          <w:lang w:eastAsia="en-GB"/>
        </w:rPr>
      </w:pPr>
      <w:r w:rsidRPr="00656B7A">
        <w:rPr>
          <w:rFonts w:eastAsia="Times New Roman"/>
          <w:lang w:eastAsia="en-GB"/>
        </w:rPr>
        <w:t>In 2018/19 the grants fun</w:t>
      </w:r>
      <w:r w:rsidR="003D16D9" w:rsidRPr="006005D6">
        <w:rPr>
          <w:rFonts w:eastAsia="Times New Roman"/>
          <w:lang w:eastAsia="en-GB"/>
        </w:rPr>
        <w:t xml:space="preserve">ded </w:t>
      </w:r>
      <w:r w:rsidR="002243A8">
        <w:rPr>
          <w:rFonts w:eastAsia="Times New Roman"/>
          <w:lang w:eastAsia="en-GB"/>
        </w:rPr>
        <w:t>(</w:t>
      </w:r>
      <w:r w:rsidR="006F73CD">
        <w:rPr>
          <w:rFonts w:eastAsia="Times New Roman"/>
          <w:lang w:eastAsia="en-GB"/>
        </w:rPr>
        <w:t>and will be funding</w:t>
      </w:r>
      <w:r w:rsidR="002243A8">
        <w:rPr>
          <w:rFonts w:eastAsia="Times New Roman"/>
          <w:lang w:eastAsia="en-GB"/>
        </w:rPr>
        <w:t>)</w:t>
      </w:r>
      <w:r w:rsidR="006F73CD">
        <w:rPr>
          <w:rFonts w:eastAsia="Times New Roman"/>
          <w:lang w:eastAsia="en-GB"/>
        </w:rPr>
        <w:t xml:space="preserve"> </w:t>
      </w:r>
      <w:r w:rsidR="003D16D9" w:rsidRPr="006005D6">
        <w:rPr>
          <w:rFonts w:eastAsia="Times New Roman"/>
          <w:lang w:eastAsia="en-GB"/>
        </w:rPr>
        <w:t xml:space="preserve">the following </w:t>
      </w:r>
      <w:r w:rsidR="006F73CD">
        <w:rPr>
          <w:rFonts w:eastAsia="Times New Roman"/>
          <w:lang w:eastAsia="en-GB"/>
        </w:rPr>
        <w:t>services:</w:t>
      </w:r>
    </w:p>
    <w:tbl>
      <w:tblPr>
        <w:tblW w:w="9149" w:type="dxa"/>
        <w:tblInd w:w="93" w:type="dxa"/>
        <w:tblLook w:val="04A0" w:firstRow="1" w:lastRow="0" w:firstColumn="1" w:lastColumn="0" w:noHBand="0" w:noVBand="1"/>
      </w:tblPr>
      <w:tblGrid>
        <w:gridCol w:w="2471"/>
        <w:gridCol w:w="1551"/>
        <w:gridCol w:w="1628"/>
        <w:gridCol w:w="743"/>
        <w:gridCol w:w="1366"/>
        <w:gridCol w:w="1390"/>
      </w:tblGrid>
      <w:tr w:rsidR="00165C73" w:rsidRPr="00031D02" w:rsidTr="008A257F">
        <w:trPr>
          <w:trHeight w:val="713"/>
        </w:trPr>
        <w:tc>
          <w:tcPr>
            <w:tcW w:w="9149" w:type="dxa"/>
            <w:gridSpan w:val="6"/>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rsidR="00165C73" w:rsidRDefault="00165C73" w:rsidP="00934872">
            <w:pPr>
              <w:jc w:val="center"/>
              <w:rPr>
                <w:rFonts w:eastAsia="Times New Roman"/>
                <w:b/>
                <w:bCs/>
                <w:color w:val="000000"/>
                <w:sz w:val="22"/>
                <w:szCs w:val="22"/>
                <w:lang w:eastAsia="en-GB"/>
              </w:rPr>
            </w:pPr>
            <w:r w:rsidRPr="00165C73">
              <w:rPr>
                <w:rFonts w:eastAsia="Times New Roman"/>
                <w:b/>
                <w:bCs/>
                <w:color w:val="000000"/>
                <w:sz w:val="22"/>
                <w:szCs w:val="22"/>
                <w:lang w:eastAsia="en-GB"/>
              </w:rPr>
              <w:t xml:space="preserve">Oxfordshire Adult Homeless Pathway – Pooled Budget </w:t>
            </w:r>
          </w:p>
          <w:p w:rsidR="005259B1" w:rsidRPr="00165C73" w:rsidRDefault="005259B1" w:rsidP="00934872">
            <w:pPr>
              <w:jc w:val="center"/>
              <w:rPr>
                <w:rFonts w:eastAsia="Times New Roman"/>
                <w:b/>
                <w:bCs/>
                <w:color w:val="000000"/>
                <w:sz w:val="22"/>
                <w:szCs w:val="22"/>
                <w:highlight w:val="yellow"/>
                <w:lang w:eastAsia="en-GB"/>
              </w:rPr>
            </w:pPr>
            <w:r>
              <w:rPr>
                <w:rFonts w:eastAsia="Times New Roman"/>
                <w:b/>
                <w:bCs/>
                <w:color w:val="000000"/>
                <w:sz w:val="22"/>
                <w:szCs w:val="22"/>
                <w:lang w:eastAsia="en-GB"/>
              </w:rPr>
              <w:t>Supported Accommodation</w:t>
            </w:r>
          </w:p>
        </w:tc>
      </w:tr>
      <w:tr w:rsidR="00934872" w:rsidRPr="00031D02" w:rsidTr="00C95D38">
        <w:trPr>
          <w:trHeight w:val="713"/>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Service</w:t>
            </w:r>
          </w:p>
        </w:tc>
        <w:tc>
          <w:tcPr>
            <w:tcW w:w="1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Service Provider</w:t>
            </w:r>
          </w:p>
        </w:tc>
        <w:tc>
          <w:tcPr>
            <w:tcW w:w="16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Contract Value</w:t>
            </w:r>
          </w:p>
        </w:tc>
        <w:tc>
          <w:tcPr>
            <w:tcW w:w="7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City use only</w:t>
            </w:r>
          </w:p>
        </w:tc>
        <w:tc>
          <w:tcPr>
            <w:tcW w:w="1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Number of Units/Beds</w:t>
            </w:r>
          </w:p>
        </w:tc>
        <w:tc>
          <w:tcPr>
            <w:tcW w:w="1390" w:type="dxa"/>
            <w:tcBorders>
              <w:top w:val="single" w:sz="4" w:space="0" w:color="auto"/>
              <w:left w:val="single" w:sz="4" w:space="0" w:color="auto"/>
              <w:bottom w:val="single" w:sz="4" w:space="0" w:color="auto"/>
              <w:right w:val="single" w:sz="4" w:space="0" w:color="auto"/>
            </w:tcBorders>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Local connection</w:t>
            </w:r>
          </w:p>
        </w:tc>
      </w:tr>
      <w:tr w:rsidR="005259B1" w:rsidRPr="00031D02" w:rsidTr="00C95D38">
        <w:trPr>
          <w:trHeight w:val="29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 xml:space="preserve">O'Hanlon </w:t>
            </w:r>
            <w:proofErr w:type="spellStart"/>
            <w:r w:rsidRPr="00031D02">
              <w:rPr>
                <w:rFonts w:eastAsia="Times New Roman"/>
                <w:color w:val="000000"/>
                <w:sz w:val="22"/>
                <w:szCs w:val="22"/>
                <w:lang w:eastAsia="en-GB"/>
              </w:rPr>
              <w:t>Hse</w:t>
            </w:r>
            <w:proofErr w:type="spellEnd"/>
            <w:r w:rsidRPr="00031D02">
              <w:rPr>
                <w:rFonts w:eastAsia="Times New Roman"/>
                <w:color w:val="000000"/>
                <w:sz w:val="22"/>
                <w:szCs w:val="22"/>
                <w:lang w:eastAsia="en-GB"/>
              </w:rPr>
              <w:t xml:space="preserve"> - City</w:t>
            </w:r>
          </w:p>
        </w:tc>
        <w:tc>
          <w:tcPr>
            <w:tcW w:w="1551"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vMerge w:val="restart"/>
            <w:tcBorders>
              <w:top w:val="nil"/>
              <w:left w:val="nil"/>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£161,700</w:t>
            </w:r>
          </w:p>
        </w:tc>
        <w:tc>
          <w:tcPr>
            <w:tcW w:w="743"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27</w:t>
            </w:r>
          </w:p>
        </w:tc>
        <w:tc>
          <w:tcPr>
            <w:tcW w:w="1390" w:type="dxa"/>
            <w:tcBorders>
              <w:top w:val="nil"/>
              <w:left w:val="nil"/>
              <w:bottom w:val="single" w:sz="4" w:space="0" w:color="auto"/>
              <w:right w:val="single" w:sz="4" w:space="0" w:color="auto"/>
            </w:tcBorders>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Yes</w:t>
            </w:r>
          </w:p>
        </w:tc>
      </w:tr>
      <w:tr w:rsidR="005259B1" w:rsidRPr="00031D02" w:rsidTr="00C95D38">
        <w:trPr>
          <w:trHeight w:val="307"/>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Connection Support</w:t>
            </w:r>
          </w:p>
        </w:tc>
        <w:tc>
          <w:tcPr>
            <w:tcW w:w="1551"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Connection &amp; Response</w:t>
            </w:r>
          </w:p>
        </w:tc>
        <w:tc>
          <w:tcPr>
            <w:tcW w:w="1628" w:type="dxa"/>
            <w:vMerge/>
            <w:tcBorders>
              <w:left w:val="nil"/>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31</w:t>
            </w:r>
          </w:p>
        </w:tc>
        <w:tc>
          <w:tcPr>
            <w:tcW w:w="1390" w:type="dxa"/>
            <w:tcBorders>
              <w:top w:val="nil"/>
              <w:left w:val="nil"/>
              <w:bottom w:val="single" w:sz="4" w:space="0" w:color="auto"/>
              <w:right w:val="single" w:sz="4" w:space="0" w:color="auto"/>
            </w:tcBorders>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Yes</w:t>
            </w:r>
          </w:p>
        </w:tc>
      </w:tr>
      <w:tr w:rsidR="005259B1" w:rsidRPr="00031D02" w:rsidTr="00C95D38">
        <w:trPr>
          <w:trHeight w:val="307"/>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 xml:space="preserve">Mayday </w:t>
            </w:r>
          </w:p>
        </w:tc>
        <w:tc>
          <w:tcPr>
            <w:tcW w:w="1551" w:type="dxa"/>
            <w:tcBorders>
              <w:top w:val="nil"/>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Mayday Trust</w:t>
            </w:r>
          </w:p>
        </w:tc>
        <w:tc>
          <w:tcPr>
            <w:tcW w:w="1628" w:type="dxa"/>
            <w:vMerge/>
            <w:tcBorders>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21</w:t>
            </w:r>
          </w:p>
        </w:tc>
        <w:tc>
          <w:tcPr>
            <w:tcW w:w="1390" w:type="dxa"/>
            <w:tcBorders>
              <w:top w:val="nil"/>
              <w:left w:val="nil"/>
              <w:bottom w:val="single" w:sz="4" w:space="0" w:color="auto"/>
              <w:right w:val="single" w:sz="4" w:space="0" w:color="auto"/>
            </w:tcBorders>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Yes</w:t>
            </w:r>
          </w:p>
        </w:tc>
      </w:tr>
      <w:tr w:rsidR="002477B8" w:rsidRPr="00031D02" w:rsidTr="00C95D38">
        <w:trPr>
          <w:trHeight w:val="307"/>
        </w:trPr>
        <w:tc>
          <w:tcPr>
            <w:tcW w:w="2471"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1551" w:type="dxa"/>
            <w:tcBorders>
              <w:top w:val="nil"/>
              <w:left w:val="nil"/>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1628" w:type="dxa"/>
            <w:tcBorders>
              <w:left w:val="nil"/>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1366" w:type="dxa"/>
            <w:tcBorders>
              <w:top w:val="nil"/>
              <w:left w:val="nil"/>
              <w:bottom w:val="single" w:sz="4" w:space="0" w:color="auto"/>
              <w:right w:val="single" w:sz="4" w:space="0" w:color="auto"/>
            </w:tcBorders>
            <w:shd w:val="clear" w:color="auto" w:fill="D6E3BC" w:themeFill="accent3" w:themeFillTint="66"/>
            <w:vAlign w:val="center"/>
          </w:tcPr>
          <w:p w:rsidR="00C95D38" w:rsidRDefault="00C95D38" w:rsidP="00C95D38">
            <w:pPr>
              <w:rPr>
                <w:rFonts w:eastAsia="Times New Roman"/>
                <w:b/>
                <w:color w:val="000000"/>
                <w:sz w:val="22"/>
                <w:szCs w:val="22"/>
                <w:lang w:eastAsia="en-GB"/>
              </w:rPr>
            </w:pPr>
          </w:p>
          <w:p w:rsidR="002477B8" w:rsidRDefault="002477B8" w:rsidP="00C95D38">
            <w:pPr>
              <w:rPr>
                <w:rFonts w:eastAsia="Times New Roman"/>
                <w:b/>
                <w:color w:val="000000"/>
                <w:sz w:val="22"/>
                <w:szCs w:val="22"/>
                <w:lang w:eastAsia="en-GB"/>
              </w:rPr>
            </w:pPr>
            <w:r w:rsidRPr="002477B8">
              <w:rPr>
                <w:rFonts w:eastAsia="Times New Roman"/>
                <w:b/>
                <w:color w:val="000000"/>
                <w:sz w:val="22"/>
                <w:szCs w:val="22"/>
                <w:lang w:eastAsia="en-GB"/>
              </w:rPr>
              <w:t>79</w:t>
            </w:r>
          </w:p>
          <w:p w:rsidR="00D43893" w:rsidRPr="002477B8" w:rsidRDefault="00D43893" w:rsidP="00C95D38">
            <w:pPr>
              <w:rPr>
                <w:rFonts w:eastAsia="Times New Roman"/>
                <w:b/>
                <w:color w:val="000000"/>
                <w:sz w:val="22"/>
                <w:szCs w:val="22"/>
                <w:lang w:eastAsia="en-GB"/>
              </w:rPr>
            </w:pPr>
          </w:p>
        </w:tc>
        <w:tc>
          <w:tcPr>
            <w:tcW w:w="1390" w:type="dxa"/>
            <w:tcBorders>
              <w:top w:val="nil"/>
              <w:left w:val="nil"/>
              <w:bottom w:val="single" w:sz="4" w:space="0" w:color="auto"/>
              <w:right w:val="single" w:sz="4" w:space="0" w:color="auto"/>
            </w:tcBorders>
            <w:shd w:val="clear" w:color="auto" w:fill="D6E3BC" w:themeFill="accent3" w:themeFillTint="66"/>
          </w:tcPr>
          <w:p w:rsidR="002477B8" w:rsidRDefault="002477B8" w:rsidP="00C95D38">
            <w:pPr>
              <w:rPr>
                <w:rFonts w:eastAsia="Times New Roman"/>
                <w:color w:val="000000"/>
                <w:sz w:val="22"/>
                <w:szCs w:val="22"/>
                <w:lang w:eastAsia="en-GB"/>
              </w:rPr>
            </w:pPr>
          </w:p>
        </w:tc>
      </w:tr>
      <w:tr w:rsidR="005259B1" w:rsidRPr="00031D02" w:rsidTr="008A257F">
        <w:trPr>
          <w:trHeight w:val="307"/>
        </w:trPr>
        <w:tc>
          <w:tcPr>
            <w:tcW w:w="9149" w:type="dxa"/>
            <w:gridSpan w:val="6"/>
            <w:tcBorders>
              <w:top w:val="nil"/>
              <w:left w:val="single" w:sz="4" w:space="0" w:color="auto"/>
              <w:bottom w:val="single" w:sz="4" w:space="0" w:color="auto"/>
              <w:right w:val="single" w:sz="4" w:space="0" w:color="auto"/>
            </w:tcBorders>
            <w:shd w:val="clear" w:color="auto" w:fill="9BBB59" w:themeFill="accent3"/>
            <w:vAlign w:val="center"/>
          </w:tcPr>
          <w:p w:rsidR="005259B1" w:rsidRDefault="005259B1" w:rsidP="00C95D38">
            <w:pPr>
              <w:rPr>
                <w:rFonts w:eastAsia="Times New Roman"/>
                <w:b/>
                <w:color w:val="000000"/>
                <w:sz w:val="22"/>
                <w:szCs w:val="22"/>
                <w:lang w:eastAsia="en-GB"/>
              </w:rPr>
            </w:pPr>
          </w:p>
          <w:p w:rsidR="005259B1" w:rsidRPr="005259B1" w:rsidRDefault="005259B1" w:rsidP="00C95D38">
            <w:pPr>
              <w:rPr>
                <w:rFonts w:eastAsia="Times New Roman"/>
                <w:b/>
                <w:color w:val="000000"/>
                <w:sz w:val="22"/>
                <w:szCs w:val="22"/>
                <w:lang w:eastAsia="en-GB"/>
              </w:rPr>
            </w:pPr>
            <w:r w:rsidRPr="005259B1">
              <w:rPr>
                <w:rFonts w:eastAsia="Times New Roman"/>
                <w:b/>
                <w:color w:val="000000"/>
                <w:sz w:val="22"/>
                <w:szCs w:val="22"/>
                <w:lang w:eastAsia="en-GB"/>
              </w:rPr>
              <w:t xml:space="preserve">Oxford </w:t>
            </w:r>
            <w:r w:rsidR="00C95D38">
              <w:rPr>
                <w:rFonts w:eastAsia="Times New Roman"/>
                <w:b/>
                <w:color w:val="000000"/>
                <w:sz w:val="22"/>
                <w:szCs w:val="22"/>
                <w:lang w:eastAsia="en-GB"/>
              </w:rPr>
              <w:t xml:space="preserve">City </w:t>
            </w:r>
            <w:r w:rsidRPr="005259B1">
              <w:rPr>
                <w:rFonts w:eastAsia="Times New Roman"/>
                <w:b/>
                <w:color w:val="000000"/>
                <w:sz w:val="22"/>
                <w:szCs w:val="22"/>
                <w:lang w:eastAsia="en-GB"/>
              </w:rPr>
              <w:t>Funded Supported Housing</w:t>
            </w:r>
          </w:p>
          <w:p w:rsidR="005259B1" w:rsidRDefault="005259B1" w:rsidP="00C95D38">
            <w:pPr>
              <w:rPr>
                <w:rFonts w:eastAsia="Times New Roman"/>
                <w:color w:val="000000"/>
                <w:sz w:val="22"/>
                <w:szCs w:val="22"/>
                <w:lang w:eastAsia="en-GB"/>
              </w:rPr>
            </w:pPr>
          </w:p>
        </w:tc>
      </w:tr>
      <w:tr w:rsidR="00715D6F" w:rsidRPr="00031D02" w:rsidTr="00C95D38">
        <w:trPr>
          <w:trHeight w:val="291"/>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 xml:space="preserve">O'Hanlon </w:t>
            </w:r>
            <w:proofErr w:type="spellStart"/>
            <w:r w:rsidRPr="00031D02">
              <w:rPr>
                <w:rFonts w:eastAsia="Times New Roman"/>
                <w:color w:val="000000"/>
                <w:sz w:val="22"/>
                <w:szCs w:val="22"/>
                <w:lang w:eastAsia="en-GB"/>
              </w:rPr>
              <w:t>Hse</w:t>
            </w:r>
            <w:proofErr w:type="spellEnd"/>
            <w:r w:rsidRPr="00031D02">
              <w:rPr>
                <w:rFonts w:eastAsia="Times New Roman"/>
                <w:color w:val="000000"/>
                <w:sz w:val="22"/>
                <w:szCs w:val="22"/>
                <w:lang w:eastAsia="en-GB"/>
              </w:rPr>
              <w:t xml:space="preserve"> - City - SIT UP</w:t>
            </w:r>
          </w:p>
        </w:tc>
        <w:tc>
          <w:tcPr>
            <w:tcW w:w="1551"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£54,903</w:t>
            </w:r>
          </w:p>
        </w:tc>
        <w:tc>
          <w:tcPr>
            <w:tcW w:w="743" w:type="dxa"/>
            <w:tcBorders>
              <w:top w:val="nil"/>
              <w:left w:val="nil"/>
              <w:bottom w:val="single" w:sz="4" w:space="0" w:color="auto"/>
              <w:right w:val="single" w:sz="4" w:space="0" w:color="auto"/>
            </w:tcBorders>
            <w:shd w:val="clear" w:color="auto" w:fill="auto"/>
            <w:vAlign w:val="center"/>
          </w:tcPr>
          <w:p w:rsidR="00715D6F" w:rsidRPr="00031D02" w:rsidRDefault="00994D72" w:rsidP="00C95D38">
            <w:pPr>
              <w:rPr>
                <w:rFonts w:eastAsia="Times New Roman"/>
                <w:color w:val="000000"/>
                <w:sz w:val="22"/>
                <w:szCs w:val="22"/>
                <w:lang w:eastAsia="en-GB"/>
              </w:rPr>
            </w:pPr>
            <w:r>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10</w:t>
            </w:r>
          </w:p>
        </w:tc>
        <w:tc>
          <w:tcPr>
            <w:tcW w:w="1390" w:type="dxa"/>
            <w:tcBorders>
              <w:top w:val="nil"/>
              <w:left w:val="nil"/>
              <w:bottom w:val="single" w:sz="4" w:space="0" w:color="auto"/>
              <w:right w:val="single" w:sz="4" w:space="0" w:color="auto"/>
            </w:tcBorders>
          </w:tcPr>
          <w:p w:rsidR="00715D6F" w:rsidRPr="00031D02" w:rsidRDefault="00994D72" w:rsidP="00C95D38">
            <w:pPr>
              <w:rPr>
                <w:rFonts w:eastAsia="Times New Roman"/>
                <w:color w:val="000000"/>
                <w:sz w:val="22"/>
                <w:szCs w:val="22"/>
                <w:lang w:eastAsia="en-GB"/>
              </w:rPr>
            </w:pPr>
            <w:r>
              <w:rPr>
                <w:rFonts w:eastAsia="Times New Roman"/>
                <w:color w:val="000000"/>
                <w:sz w:val="22"/>
                <w:szCs w:val="22"/>
                <w:lang w:eastAsia="en-GB"/>
              </w:rPr>
              <w:t xml:space="preserve">No </w:t>
            </w:r>
            <w:r w:rsidR="002477B8" w:rsidRPr="006005D6">
              <w:rPr>
                <w:rFonts w:eastAsia="Times New Roman"/>
                <w:color w:val="000000"/>
                <w:sz w:val="16"/>
                <w:szCs w:val="22"/>
                <w:lang w:eastAsia="en-GB"/>
              </w:rPr>
              <w:t>(RS can stay in sit up whist a connection is being looked into</w:t>
            </w:r>
            <w:r>
              <w:rPr>
                <w:rFonts w:eastAsia="Times New Roman"/>
                <w:color w:val="000000"/>
                <w:sz w:val="16"/>
                <w:szCs w:val="22"/>
                <w:lang w:eastAsia="en-GB"/>
              </w:rPr>
              <w:t>, or while they are engaged in reconnection</w:t>
            </w:r>
            <w:r w:rsidR="006005D6">
              <w:rPr>
                <w:rFonts w:eastAsia="Times New Roman"/>
                <w:color w:val="000000"/>
                <w:sz w:val="16"/>
                <w:szCs w:val="22"/>
                <w:lang w:eastAsia="en-GB"/>
              </w:rPr>
              <w:t>)</w:t>
            </w:r>
          </w:p>
        </w:tc>
      </w:tr>
      <w:tr w:rsidR="00715D6F" w:rsidRPr="00031D02" w:rsidTr="00C95D38">
        <w:trPr>
          <w:trHeight w:val="291"/>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Project 41</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£149,994</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41</w:t>
            </w:r>
          </w:p>
        </w:tc>
        <w:tc>
          <w:tcPr>
            <w:tcW w:w="1390" w:type="dxa"/>
            <w:tcBorders>
              <w:top w:val="nil"/>
              <w:left w:val="nil"/>
              <w:bottom w:val="single" w:sz="4" w:space="0" w:color="auto"/>
              <w:right w:val="single" w:sz="4" w:space="0" w:color="auto"/>
            </w:tcBorders>
          </w:tcPr>
          <w:p w:rsidR="00715D6F" w:rsidRPr="00031D02" w:rsidRDefault="006067A3"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33"/>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S</w:t>
            </w:r>
            <w:r>
              <w:rPr>
                <w:rFonts w:eastAsia="Times New Roman"/>
                <w:color w:val="000000"/>
                <w:sz w:val="22"/>
                <w:szCs w:val="22"/>
                <w:lang w:eastAsia="en-GB"/>
              </w:rPr>
              <w:t xml:space="preserve">imon House  </w:t>
            </w:r>
          </w:p>
        </w:tc>
        <w:tc>
          <w:tcPr>
            <w:tcW w:w="1551"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A2 Dominion</w:t>
            </w:r>
          </w:p>
        </w:tc>
        <w:tc>
          <w:tcPr>
            <w:tcW w:w="1628" w:type="dxa"/>
            <w:tcBorders>
              <w:top w:val="nil"/>
              <w:left w:val="nil"/>
              <w:bottom w:val="single" w:sz="4" w:space="0" w:color="auto"/>
              <w:right w:val="single" w:sz="4" w:space="0" w:color="auto"/>
            </w:tcBorders>
            <w:shd w:val="clear" w:color="auto" w:fill="auto"/>
            <w:vAlign w:val="center"/>
          </w:tcPr>
          <w:p w:rsidR="00715D6F" w:rsidRDefault="00715D6F" w:rsidP="00C95D38">
            <w:pPr>
              <w:rPr>
                <w:rFonts w:eastAsia="Times New Roman"/>
                <w:color w:val="000000"/>
                <w:sz w:val="22"/>
                <w:szCs w:val="22"/>
                <w:lang w:eastAsia="en-GB"/>
              </w:rPr>
            </w:pPr>
          </w:p>
          <w:p w:rsidR="00C95D38" w:rsidRPr="00031D02" w:rsidRDefault="00C95D38" w:rsidP="00C95D38">
            <w:pPr>
              <w:rPr>
                <w:rFonts w:eastAsia="Times New Roman"/>
                <w:color w:val="000000"/>
                <w:sz w:val="22"/>
                <w:szCs w:val="22"/>
                <w:lang w:eastAsia="en-GB"/>
              </w:rPr>
            </w:pPr>
            <w:r>
              <w:rPr>
                <w:rFonts w:eastAsia="Times New Roman"/>
                <w:color w:val="000000"/>
                <w:sz w:val="22"/>
                <w:szCs w:val="22"/>
                <w:lang w:eastAsia="en-GB"/>
              </w:rPr>
              <w:t>£200,000</w:t>
            </w:r>
          </w:p>
        </w:tc>
        <w:tc>
          <w:tcPr>
            <w:tcW w:w="743"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22</w:t>
            </w:r>
          </w:p>
        </w:tc>
        <w:tc>
          <w:tcPr>
            <w:tcW w:w="1390" w:type="dxa"/>
            <w:tcBorders>
              <w:top w:val="nil"/>
              <w:left w:val="nil"/>
              <w:bottom w:val="single" w:sz="4" w:space="0" w:color="auto"/>
              <w:right w:val="single" w:sz="4" w:space="0" w:color="auto"/>
            </w:tcBorders>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33"/>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 xml:space="preserve">Mayday </w:t>
            </w:r>
          </w:p>
        </w:tc>
        <w:tc>
          <w:tcPr>
            <w:tcW w:w="1551"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Mayday Trust</w:t>
            </w:r>
          </w:p>
        </w:tc>
        <w:tc>
          <w:tcPr>
            <w:tcW w:w="1628" w:type="dxa"/>
            <w:tcBorders>
              <w:top w:val="nil"/>
              <w:left w:val="nil"/>
              <w:bottom w:val="single" w:sz="4" w:space="0" w:color="auto"/>
              <w:right w:val="single" w:sz="4" w:space="0" w:color="auto"/>
            </w:tcBorders>
            <w:shd w:val="clear" w:color="auto" w:fill="auto"/>
            <w:vAlign w:val="center"/>
          </w:tcPr>
          <w:p w:rsidR="00715D6F" w:rsidRDefault="00715D6F" w:rsidP="00C95D38">
            <w:pPr>
              <w:rPr>
                <w:rFonts w:eastAsia="Times New Roman"/>
                <w:color w:val="000000"/>
                <w:sz w:val="22"/>
                <w:szCs w:val="22"/>
                <w:lang w:eastAsia="en-GB"/>
              </w:rPr>
            </w:pPr>
          </w:p>
          <w:p w:rsidR="00C95D38" w:rsidRPr="00031D02" w:rsidRDefault="00C95D38" w:rsidP="00C95D38">
            <w:pPr>
              <w:rPr>
                <w:rFonts w:eastAsia="Times New Roman"/>
                <w:color w:val="000000"/>
                <w:sz w:val="22"/>
                <w:szCs w:val="22"/>
                <w:lang w:eastAsia="en-GB"/>
              </w:rPr>
            </w:pPr>
            <w:r>
              <w:rPr>
                <w:rFonts w:eastAsia="Times New Roman"/>
                <w:color w:val="000000"/>
                <w:sz w:val="22"/>
                <w:szCs w:val="22"/>
                <w:lang w:eastAsia="en-GB"/>
              </w:rPr>
              <w:t>£39,272</w:t>
            </w:r>
          </w:p>
        </w:tc>
        <w:tc>
          <w:tcPr>
            <w:tcW w:w="743"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 xml:space="preserve">Yes </w:t>
            </w:r>
          </w:p>
        </w:tc>
        <w:tc>
          <w:tcPr>
            <w:tcW w:w="1366"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10</w:t>
            </w:r>
          </w:p>
        </w:tc>
        <w:tc>
          <w:tcPr>
            <w:tcW w:w="1390" w:type="dxa"/>
            <w:tcBorders>
              <w:top w:val="nil"/>
              <w:left w:val="nil"/>
              <w:bottom w:val="single" w:sz="4" w:space="0" w:color="auto"/>
              <w:right w:val="single" w:sz="4" w:space="0" w:color="auto"/>
            </w:tcBorders>
          </w:tcPr>
          <w:p w:rsidR="00715D6F"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Housing First</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£47,850</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Acacia - existing</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£47,850</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Acacia - capacity increase</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£47,850</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1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TBC - EEA Migrants / Routes Home</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 </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 </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1</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i/>
                <w:iCs/>
                <w:color w:val="948A54"/>
                <w:sz w:val="22"/>
                <w:szCs w:val="22"/>
                <w:lang w:eastAsia="en-GB"/>
              </w:rPr>
            </w:pPr>
            <w:r>
              <w:rPr>
                <w:rFonts w:eastAsia="Times New Roman"/>
                <w:i/>
                <w:iCs/>
                <w:color w:val="948A54"/>
                <w:sz w:val="22"/>
                <w:szCs w:val="22"/>
                <w:lang w:eastAsia="en-GB"/>
              </w:rPr>
              <w:t>No</w:t>
            </w:r>
          </w:p>
        </w:tc>
      </w:tr>
      <w:tr w:rsidR="002477B8" w:rsidRPr="00031D02" w:rsidTr="00C95D38">
        <w:trPr>
          <w:trHeight w:val="348"/>
        </w:trPr>
        <w:tc>
          <w:tcPr>
            <w:tcW w:w="2471" w:type="dxa"/>
            <w:tcBorders>
              <w:top w:val="nil"/>
              <w:left w:val="single" w:sz="4" w:space="0" w:color="auto"/>
              <w:bottom w:val="single" w:sz="4" w:space="0" w:color="auto"/>
              <w:right w:val="single" w:sz="4" w:space="0" w:color="auto"/>
            </w:tcBorders>
            <w:shd w:val="clear" w:color="000000" w:fill="D8E4BC"/>
            <w:vAlign w:val="center"/>
            <w:hideMark/>
          </w:tcPr>
          <w:p w:rsidR="002477B8" w:rsidRDefault="002477B8" w:rsidP="00C95D38">
            <w:pPr>
              <w:rPr>
                <w:rFonts w:eastAsia="Times New Roman"/>
                <w:color w:val="000000"/>
                <w:sz w:val="22"/>
                <w:szCs w:val="22"/>
                <w:lang w:eastAsia="en-GB"/>
              </w:rPr>
            </w:pPr>
          </w:p>
          <w:p w:rsidR="00B577A1" w:rsidRDefault="00B577A1" w:rsidP="00C95D38">
            <w:pPr>
              <w:rPr>
                <w:rFonts w:eastAsia="Times New Roman"/>
                <w:color w:val="000000"/>
                <w:sz w:val="22"/>
                <w:szCs w:val="22"/>
                <w:lang w:eastAsia="en-GB"/>
              </w:rPr>
            </w:pPr>
          </w:p>
          <w:p w:rsidR="00B577A1" w:rsidRDefault="00B577A1" w:rsidP="00C95D38">
            <w:pPr>
              <w:rPr>
                <w:rFonts w:eastAsia="Times New Roman"/>
                <w:color w:val="000000"/>
                <w:sz w:val="22"/>
                <w:szCs w:val="22"/>
                <w:lang w:eastAsia="en-GB"/>
              </w:rPr>
            </w:pPr>
          </w:p>
          <w:p w:rsidR="00B577A1" w:rsidRPr="00031D02" w:rsidRDefault="00B577A1" w:rsidP="00C95D38">
            <w:pPr>
              <w:rPr>
                <w:rFonts w:eastAsia="Times New Roman"/>
                <w:color w:val="000000"/>
                <w:sz w:val="22"/>
                <w:szCs w:val="22"/>
                <w:lang w:eastAsia="en-GB"/>
              </w:rPr>
            </w:pPr>
          </w:p>
        </w:tc>
        <w:tc>
          <w:tcPr>
            <w:tcW w:w="1551" w:type="dxa"/>
            <w:tcBorders>
              <w:top w:val="nil"/>
              <w:left w:val="nil"/>
              <w:bottom w:val="single" w:sz="4" w:space="0" w:color="auto"/>
              <w:right w:val="single" w:sz="4" w:space="0" w:color="auto"/>
            </w:tcBorders>
            <w:shd w:val="clear" w:color="000000" w:fill="D8E4BC"/>
            <w:vAlign w:val="center"/>
            <w:hideMark/>
          </w:tcPr>
          <w:p w:rsidR="002477B8" w:rsidRPr="00031D02" w:rsidRDefault="002477B8"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1628" w:type="dxa"/>
            <w:tcBorders>
              <w:top w:val="nil"/>
              <w:left w:val="nil"/>
              <w:bottom w:val="single" w:sz="4" w:space="0" w:color="auto"/>
              <w:right w:val="single" w:sz="4" w:space="0" w:color="auto"/>
            </w:tcBorders>
            <w:shd w:val="clear" w:color="000000" w:fill="D8E4BC"/>
            <w:vAlign w:val="center"/>
            <w:hideMark/>
          </w:tcPr>
          <w:p w:rsidR="00C95D38" w:rsidRDefault="00C95D38" w:rsidP="00C95D38">
            <w:pPr>
              <w:rPr>
                <w:rFonts w:eastAsia="Times New Roman"/>
                <w:color w:val="000000"/>
                <w:sz w:val="22"/>
                <w:szCs w:val="22"/>
                <w:lang w:eastAsia="en-GB"/>
              </w:rPr>
            </w:pPr>
          </w:p>
          <w:p w:rsidR="00C95D38" w:rsidRDefault="00C95D38" w:rsidP="00C95D38">
            <w:pPr>
              <w:rPr>
                <w:rFonts w:eastAsia="Times New Roman"/>
                <w:color w:val="000000"/>
                <w:sz w:val="22"/>
                <w:szCs w:val="22"/>
                <w:lang w:eastAsia="en-GB"/>
              </w:rPr>
            </w:pPr>
          </w:p>
          <w:p w:rsidR="00C95D38" w:rsidRPr="00031D02" w:rsidRDefault="00C95D38"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000000" w:fill="D8E4BC"/>
            <w:vAlign w:val="center"/>
            <w:hideMark/>
          </w:tcPr>
          <w:p w:rsidR="002477B8" w:rsidRPr="00031D02" w:rsidRDefault="002477B8"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1366" w:type="dxa"/>
            <w:tcBorders>
              <w:top w:val="nil"/>
              <w:left w:val="nil"/>
              <w:bottom w:val="single" w:sz="4" w:space="0" w:color="auto"/>
              <w:right w:val="single" w:sz="4" w:space="0" w:color="auto"/>
            </w:tcBorders>
            <w:shd w:val="clear" w:color="000000" w:fill="D8E4BC"/>
            <w:vAlign w:val="center"/>
            <w:hideMark/>
          </w:tcPr>
          <w:p w:rsidR="002477B8" w:rsidRPr="00031D02" w:rsidRDefault="004712D6" w:rsidP="00C95D38">
            <w:pPr>
              <w:rPr>
                <w:rFonts w:eastAsia="Times New Roman"/>
                <w:b/>
                <w:bCs/>
                <w:color w:val="000000"/>
                <w:sz w:val="22"/>
                <w:szCs w:val="22"/>
                <w:lang w:eastAsia="en-GB"/>
              </w:rPr>
            </w:pPr>
            <w:r>
              <w:rPr>
                <w:rFonts w:eastAsia="Times New Roman"/>
                <w:b/>
                <w:bCs/>
                <w:color w:val="000000"/>
                <w:sz w:val="22"/>
                <w:szCs w:val="22"/>
                <w:lang w:eastAsia="en-GB"/>
              </w:rPr>
              <w:t>89</w:t>
            </w:r>
          </w:p>
        </w:tc>
        <w:tc>
          <w:tcPr>
            <w:tcW w:w="1390" w:type="dxa"/>
            <w:tcBorders>
              <w:top w:val="nil"/>
              <w:left w:val="nil"/>
              <w:bottom w:val="single" w:sz="4" w:space="0" w:color="auto"/>
              <w:right w:val="single" w:sz="4" w:space="0" w:color="auto"/>
            </w:tcBorders>
            <w:shd w:val="clear" w:color="000000" w:fill="D8E4BC"/>
          </w:tcPr>
          <w:p w:rsidR="002477B8" w:rsidRPr="00031D02" w:rsidRDefault="002477B8" w:rsidP="00C95D38">
            <w:pPr>
              <w:rPr>
                <w:rFonts w:eastAsia="Times New Roman"/>
                <w:b/>
                <w:bCs/>
                <w:color w:val="000000"/>
                <w:sz w:val="22"/>
                <w:szCs w:val="22"/>
                <w:lang w:eastAsia="en-GB"/>
              </w:rPr>
            </w:pPr>
          </w:p>
        </w:tc>
      </w:tr>
      <w:tr w:rsidR="002477B8" w:rsidRPr="00031D02" w:rsidTr="008A257F">
        <w:trPr>
          <w:trHeight w:val="348"/>
        </w:trPr>
        <w:tc>
          <w:tcPr>
            <w:tcW w:w="9149" w:type="dxa"/>
            <w:gridSpan w:val="6"/>
            <w:tcBorders>
              <w:top w:val="nil"/>
              <w:left w:val="single" w:sz="4" w:space="0" w:color="auto"/>
              <w:bottom w:val="single" w:sz="4" w:space="0" w:color="auto"/>
              <w:right w:val="single" w:sz="4" w:space="0" w:color="auto"/>
            </w:tcBorders>
            <w:shd w:val="clear" w:color="auto" w:fill="9BBB59" w:themeFill="accent3"/>
            <w:vAlign w:val="center"/>
          </w:tcPr>
          <w:p w:rsidR="002477B8" w:rsidRPr="00031D02" w:rsidRDefault="002477B8" w:rsidP="00C95D38">
            <w:pPr>
              <w:rPr>
                <w:rFonts w:eastAsia="Times New Roman"/>
                <w:b/>
                <w:bCs/>
                <w:color w:val="000000"/>
                <w:sz w:val="22"/>
                <w:szCs w:val="22"/>
                <w:lang w:eastAsia="en-GB"/>
              </w:rPr>
            </w:pPr>
            <w:r w:rsidRPr="00031D02">
              <w:rPr>
                <w:rFonts w:eastAsia="Times New Roman"/>
                <w:color w:val="000000"/>
                <w:sz w:val="22"/>
                <w:szCs w:val="22"/>
                <w:lang w:eastAsia="en-GB"/>
              </w:rPr>
              <w:t>M</w:t>
            </w:r>
            <w:r>
              <w:rPr>
                <w:rFonts w:eastAsia="Times New Roman"/>
                <w:color w:val="000000"/>
                <w:sz w:val="22"/>
                <w:szCs w:val="22"/>
                <w:lang w:eastAsia="en-GB"/>
              </w:rPr>
              <w:t>HCLG</w:t>
            </w:r>
            <w:r w:rsidRPr="00031D02">
              <w:rPr>
                <w:rFonts w:eastAsia="Times New Roman"/>
                <w:color w:val="000000"/>
                <w:sz w:val="22"/>
                <w:szCs w:val="22"/>
                <w:lang w:eastAsia="en-GB"/>
              </w:rPr>
              <w:t xml:space="preserve"> Bid</w:t>
            </w:r>
          </w:p>
        </w:tc>
      </w:tr>
      <w:tr w:rsidR="00F07CDF" w:rsidRPr="00031D02" w:rsidTr="00C95D38">
        <w:trPr>
          <w:trHeight w:val="177"/>
        </w:trPr>
        <w:tc>
          <w:tcPr>
            <w:tcW w:w="2471" w:type="dxa"/>
            <w:tcBorders>
              <w:top w:val="nil"/>
              <w:left w:val="single" w:sz="4" w:space="0" w:color="auto"/>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t xml:space="preserve">O'Hanlon </w:t>
            </w:r>
            <w:proofErr w:type="spellStart"/>
            <w:r w:rsidRPr="002477B8">
              <w:rPr>
                <w:rFonts w:eastAsia="Times New Roman"/>
                <w:i/>
                <w:iCs/>
                <w:color w:val="948A54" w:themeColor="background2" w:themeShade="80"/>
                <w:sz w:val="22"/>
                <w:szCs w:val="22"/>
                <w:lang w:eastAsia="en-GB"/>
              </w:rPr>
              <w:t>Hse</w:t>
            </w:r>
            <w:proofErr w:type="spellEnd"/>
            <w:r w:rsidRPr="002477B8">
              <w:rPr>
                <w:rFonts w:eastAsia="Times New Roman"/>
                <w:i/>
                <w:iCs/>
                <w:color w:val="948A54" w:themeColor="background2" w:themeShade="80"/>
                <w:sz w:val="22"/>
                <w:szCs w:val="22"/>
                <w:lang w:eastAsia="en-GB"/>
              </w:rPr>
              <w:t xml:space="preserve"> - City - </w:t>
            </w:r>
            <w:r w:rsidRPr="002477B8">
              <w:rPr>
                <w:rFonts w:eastAsia="Times New Roman"/>
                <w:i/>
                <w:iCs/>
                <w:color w:val="948A54" w:themeColor="background2" w:themeShade="80"/>
                <w:sz w:val="22"/>
                <w:szCs w:val="22"/>
                <w:lang w:eastAsia="en-GB"/>
              </w:rPr>
              <w:lastRenderedPageBreak/>
              <w:t>SIT UP - extension</w:t>
            </w:r>
          </w:p>
        </w:tc>
        <w:tc>
          <w:tcPr>
            <w:tcW w:w="1551" w:type="dxa"/>
            <w:tcBorders>
              <w:top w:val="nil"/>
              <w:left w:val="nil"/>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lastRenderedPageBreak/>
              <w:t xml:space="preserve">Homeless </w:t>
            </w:r>
            <w:r w:rsidRPr="002477B8">
              <w:rPr>
                <w:rFonts w:eastAsia="Times New Roman"/>
                <w:i/>
                <w:iCs/>
                <w:color w:val="948A54" w:themeColor="background2" w:themeShade="80"/>
                <w:sz w:val="22"/>
                <w:szCs w:val="22"/>
                <w:lang w:eastAsia="en-GB"/>
              </w:rPr>
              <w:lastRenderedPageBreak/>
              <w:t>Oxfordshire</w:t>
            </w:r>
          </w:p>
        </w:tc>
        <w:tc>
          <w:tcPr>
            <w:tcW w:w="1628" w:type="dxa"/>
            <w:tcBorders>
              <w:top w:val="nil"/>
              <w:left w:val="nil"/>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lastRenderedPageBreak/>
              <w:t>£33,658</w:t>
            </w:r>
          </w:p>
        </w:tc>
        <w:tc>
          <w:tcPr>
            <w:tcW w:w="743" w:type="dxa"/>
            <w:tcBorders>
              <w:top w:val="nil"/>
              <w:left w:val="nil"/>
              <w:bottom w:val="single" w:sz="4" w:space="0" w:color="auto"/>
              <w:right w:val="single" w:sz="4" w:space="0" w:color="auto"/>
            </w:tcBorders>
            <w:shd w:val="clear" w:color="auto" w:fill="auto"/>
            <w:vAlign w:val="center"/>
          </w:tcPr>
          <w:p w:rsidR="00F07CDF" w:rsidRPr="00D43893" w:rsidDel="00F07CDF" w:rsidRDefault="00F07CDF" w:rsidP="00C95D38">
            <w:r w:rsidRPr="002477B8">
              <w:rPr>
                <w:rFonts w:eastAsia="Times New Roman"/>
                <w:i/>
                <w:iCs/>
                <w:color w:val="948A54" w:themeColor="background2" w:themeShade="80"/>
                <w:sz w:val="22"/>
                <w:szCs w:val="22"/>
                <w:lang w:eastAsia="en-GB"/>
              </w:rPr>
              <w:t>No</w:t>
            </w:r>
          </w:p>
        </w:tc>
        <w:tc>
          <w:tcPr>
            <w:tcW w:w="1366" w:type="dxa"/>
            <w:tcBorders>
              <w:top w:val="nil"/>
              <w:left w:val="nil"/>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t>10</w:t>
            </w:r>
          </w:p>
        </w:tc>
        <w:tc>
          <w:tcPr>
            <w:tcW w:w="1390" w:type="dxa"/>
            <w:tcBorders>
              <w:top w:val="nil"/>
              <w:left w:val="nil"/>
              <w:bottom w:val="single" w:sz="4" w:space="0" w:color="auto"/>
              <w:right w:val="single" w:sz="4" w:space="0" w:color="auto"/>
            </w:tcBorders>
          </w:tcPr>
          <w:p w:rsidR="00F07CDF" w:rsidRPr="00D43893" w:rsidDel="00F07CDF" w:rsidRDefault="00F07CDF" w:rsidP="00C95D38">
            <w:r>
              <w:rPr>
                <w:rFonts w:eastAsia="Times New Roman"/>
                <w:i/>
                <w:iCs/>
                <w:color w:val="948A54" w:themeColor="background2" w:themeShade="80"/>
                <w:sz w:val="22"/>
                <w:szCs w:val="22"/>
                <w:lang w:eastAsia="en-GB"/>
              </w:rPr>
              <w:t xml:space="preserve">As with the </w:t>
            </w:r>
            <w:r>
              <w:rPr>
                <w:rFonts w:eastAsia="Times New Roman"/>
                <w:i/>
                <w:iCs/>
                <w:color w:val="948A54" w:themeColor="background2" w:themeShade="80"/>
                <w:sz w:val="22"/>
                <w:szCs w:val="22"/>
                <w:lang w:eastAsia="en-GB"/>
              </w:rPr>
              <w:lastRenderedPageBreak/>
              <w:t>sit-up service above</w:t>
            </w:r>
          </w:p>
        </w:tc>
      </w:tr>
      <w:tr w:rsidR="00F07CDF" w:rsidRPr="00031D02" w:rsidTr="00C95D38">
        <w:trPr>
          <w:trHeight w:val="1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Default="00F07CDF" w:rsidP="00C95D38">
            <w:r w:rsidRPr="00D43893">
              <w:lastRenderedPageBreak/>
              <w:t>London Place</w:t>
            </w:r>
            <w:r>
              <w:t xml:space="preserve"> winter shelter </w:t>
            </w:r>
          </w:p>
          <w:p w:rsidR="00F07CDF" w:rsidRPr="00D43893" w:rsidRDefault="00F07CDF" w:rsidP="00C95D38"/>
        </w:tc>
        <w:tc>
          <w:tcPr>
            <w:tcW w:w="1551" w:type="dxa"/>
            <w:tcBorders>
              <w:top w:val="nil"/>
              <w:left w:val="nil"/>
              <w:bottom w:val="single" w:sz="4" w:space="0" w:color="auto"/>
              <w:right w:val="single" w:sz="4" w:space="0" w:color="auto"/>
            </w:tcBorders>
            <w:shd w:val="clear" w:color="auto" w:fill="auto"/>
            <w:vAlign w:val="bottom"/>
            <w:hideMark/>
          </w:tcPr>
          <w:p w:rsidR="00F07CDF" w:rsidRPr="00D43893" w:rsidRDefault="00F07CDF" w:rsidP="00C95D38"/>
          <w:p w:rsidR="00F07CDF" w:rsidRPr="00D43893" w:rsidRDefault="00F07CDF" w:rsidP="00C95D38">
            <w:r w:rsidRPr="00D43893">
              <w:t>A2 Dominion</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20930</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6</w:t>
            </w:r>
          </w:p>
        </w:tc>
        <w:tc>
          <w:tcPr>
            <w:tcW w:w="1390" w:type="dxa"/>
            <w:tcBorders>
              <w:top w:val="nil"/>
              <w:left w:val="nil"/>
              <w:bottom w:val="single" w:sz="4" w:space="0" w:color="auto"/>
              <w:right w:val="single" w:sz="4" w:space="0" w:color="auto"/>
            </w:tcBorders>
            <w:vAlign w:val="center"/>
          </w:tcPr>
          <w:p w:rsidR="00F07CDF" w:rsidRPr="00D43893" w:rsidRDefault="00F07CDF" w:rsidP="00C95D38">
            <w:r>
              <w:t>No</w:t>
            </w:r>
          </w:p>
        </w:tc>
      </w:tr>
      <w:tr w:rsidR="00F07CDF" w:rsidRPr="00031D02" w:rsidTr="00C95D38">
        <w:trPr>
          <w:trHeight w:val="26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Simon House  - winter shelter</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A2 Dominion</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62595</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8</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No</w:t>
            </w:r>
          </w:p>
        </w:tc>
      </w:tr>
      <w:tr w:rsidR="00F07CDF" w:rsidRPr="00031D02" w:rsidTr="00C95D38">
        <w:trPr>
          <w:trHeight w:val="26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proofErr w:type="spellStart"/>
            <w:r>
              <w:t>Womens</w:t>
            </w:r>
            <w:proofErr w:type="spellEnd"/>
            <w:r>
              <w:t xml:space="preserve"> beds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£16,377</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TBC</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5</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Yes</w:t>
            </w:r>
          </w:p>
        </w:tc>
      </w:tr>
      <w:tr w:rsidR="00F07CDF" w:rsidRPr="00031D02" w:rsidTr="00C95D38">
        <w:trPr>
          <w:trHeight w:val="2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Green Templeton College</w:t>
            </w:r>
            <w:r>
              <w:t xml:space="preserve"> beds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Oxford University/ Aspire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£15,400</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3</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No</w:t>
            </w:r>
          </w:p>
        </w:tc>
      </w:tr>
      <w:tr w:rsidR="00F07CDF" w:rsidRPr="00031D02" w:rsidTr="00C95D38">
        <w:trPr>
          <w:trHeight w:val="2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Rehab units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 </w:t>
            </w:r>
            <w:r w:rsidR="004712D6">
              <w:t>49009</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TBC</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7</w:t>
            </w:r>
          </w:p>
        </w:tc>
        <w:tc>
          <w:tcPr>
            <w:tcW w:w="1390" w:type="dxa"/>
            <w:tcBorders>
              <w:top w:val="nil"/>
              <w:left w:val="nil"/>
              <w:bottom w:val="single" w:sz="4" w:space="0" w:color="auto"/>
              <w:right w:val="single" w:sz="4" w:space="0" w:color="auto"/>
            </w:tcBorders>
            <w:vAlign w:val="bottom"/>
          </w:tcPr>
          <w:p w:rsidR="00F07CDF" w:rsidRPr="00D43893" w:rsidRDefault="00F07CDF" w:rsidP="00C95D38">
            <w:r w:rsidRPr="00D43893">
              <w:t>Yes</w:t>
            </w:r>
          </w:p>
        </w:tc>
      </w:tr>
      <w:tr w:rsidR="00F07CD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Move On units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 </w:t>
            </w:r>
            <w:r w:rsidR="004712D6">
              <w:t>23962</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5</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Yes</w:t>
            </w:r>
          </w:p>
        </w:tc>
      </w:tr>
      <w:tr w:rsidR="004712D6"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auto"/>
            <w:vAlign w:val="center"/>
          </w:tcPr>
          <w:p w:rsidR="004712D6" w:rsidRPr="00D43893" w:rsidRDefault="004712D6" w:rsidP="00C95D38">
            <w:r>
              <w:rPr>
                <w:rFonts w:eastAsia="Times New Roman"/>
                <w:color w:val="000000"/>
                <w:sz w:val="22"/>
                <w:szCs w:val="22"/>
                <w:lang w:eastAsia="en-GB"/>
              </w:rPr>
              <w:t>District based Winter Night Shelters</w:t>
            </w:r>
          </w:p>
        </w:tc>
        <w:tc>
          <w:tcPr>
            <w:tcW w:w="1551" w:type="dxa"/>
            <w:tcBorders>
              <w:top w:val="nil"/>
              <w:left w:val="nil"/>
              <w:bottom w:val="single" w:sz="4" w:space="0" w:color="auto"/>
              <w:right w:val="single" w:sz="4" w:space="0" w:color="auto"/>
            </w:tcBorders>
            <w:shd w:val="clear" w:color="auto" w:fill="auto"/>
            <w:vAlign w:val="center"/>
          </w:tcPr>
          <w:p w:rsidR="004712D6" w:rsidRPr="00D43893" w:rsidRDefault="004712D6" w:rsidP="00C95D38">
            <w:r>
              <w:t xml:space="preserve">District Councils </w:t>
            </w:r>
          </w:p>
        </w:tc>
        <w:tc>
          <w:tcPr>
            <w:tcW w:w="1628" w:type="dxa"/>
            <w:tcBorders>
              <w:top w:val="nil"/>
              <w:left w:val="nil"/>
              <w:bottom w:val="single" w:sz="4" w:space="0" w:color="auto"/>
              <w:right w:val="single" w:sz="4" w:space="0" w:color="auto"/>
            </w:tcBorders>
            <w:shd w:val="clear" w:color="auto" w:fill="auto"/>
            <w:vAlign w:val="center"/>
          </w:tcPr>
          <w:p w:rsidR="004712D6" w:rsidRPr="00D43893" w:rsidRDefault="004712D6" w:rsidP="00C95D38">
            <w:r>
              <w:t>30000</w:t>
            </w:r>
          </w:p>
        </w:tc>
        <w:tc>
          <w:tcPr>
            <w:tcW w:w="743" w:type="dxa"/>
            <w:tcBorders>
              <w:top w:val="nil"/>
              <w:left w:val="nil"/>
              <w:bottom w:val="single" w:sz="4" w:space="0" w:color="auto"/>
              <w:right w:val="single" w:sz="4" w:space="0" w:color="auto"/>
            </w:tcBorders>
            <w:shd w:val="clear" w:color="auto" w:fill="auto"/>
            <w:vAlign w:val="center"/>
          </w:tcPr>
          <w:p w:rsidR="004712D6" w:rsidRPr="00D43893" w:rsidDel="00F07CDF" w:rsidRDefault="004712D6" w:rsidP="00C95D38">
            <w:r>
              <w:t>No</w:t>
            </w:r>
          </w:p>
        </w:tc>
        <w:tc>
          <w:tcPr>
            <w:tcW w:w="1366" w:type="dxa"/>
            <w:tcBorders>
              <w:top w:val="nil"/>
              <w:left w:val="nil"/>
              <w:bottom w:val="single" w:sz="4" w:space="0" w:color="auto"/>
              <w:right w:val="single" w:sz="4" w:space="0" w:color="auto"/>
            </w:tcBorders>
            <w:shd w:val="clear" w:color="auto" w:fill="auto"/>
            <w:vAlign w:val="center"/>
          </w:tcPr>
          <w:p w:rsidR="004712D6" w:rsidRDefault="004712D6" w:rsidP="00C95D38">
            <w:r>
              <w:t>20</w:t>
            </w:r>
          </w:p>
        </w:tc>
        <w:tc>
          <w:tcPr>
            <w:tcW w:w="1390" w:type="dxa"/>
            <w:tcBorders>
              <w:top w:val="nil"/>
              <w:left w:val="nil"/>
              <w:bottom w:val="single" w:sz="4" w:space="0" w:color="auto"/>
              <w:right w:val="single" w:sz="4" w:space="0" w:color="auto"/>
            </w:tcBorders>
            <w:vAlign w:val="center"/>
          </w:tcPr>
          <w:p w:rsidR="004712D6" w:rsidRPr="00D43893" w:rsidRDefault="004712D6" w:rsidP="00C95D38">
            <w:r>
              <w:t>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p>
        </w:tc>
        <w:tc>
          <w:tcPr>
            <w:tcW w:w="1551" w:type="dxa"/>
            <w:tcBorders>
              <w:top w:val="single" w:sz="4" w:space="0" w:color="auto"/>
              <w:left w:val="nil"/>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p>
        </w:tc>
        <w:tc>
          <w:tcPr>
            <w:tcW w:w="1628" w:type="dxa"/>
            <w:tcBorders>
              <w:top w:val="single" w:sz="4" w:space="0" w:color="auto"/>
              <w:left w:val="nil"/>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743" w:type="dxa"/>
            <w:tcBorders>
              <w:top w:val="single" w:sz="4" w:space="0" w:color="auto"/>
              <w:left w:val="nil"/>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1366" w:type="dxa"/>
            <w:tcBorders>
              <w:top w:val="single" w:sz="4" w:space="0" w:color="auto"/>
              <w:left w:val="nil"/>
              <w:bottom w:val="single" w:sz="4" w:space="0" w:color="auto"/>
              <w:right w:val="single" w:sz="4" w:space="0" w:color="auto"/>
            </w:tcBorders>
            <w:shd w:val="clear" w:color="000000" w:fill="D8E4BC"/>
            <w:vAlign w:val="center"/>
            <w:hideMark/>
          </w:tcPr>
          <w:p w:rsidR="00F07CDF" w:rsidRDefault="004712D6" w:rsidP="00C95D38">
            <w:pPr>
              <w:rPr>
                <w:rFonts w:eastAsia="Times New Roman"/>
                <w:b/>
                <w:bCs/>
                <w:color w:val="000000"/>
                <w:sz w:val="22"/>
                <w:szCs w:val="22"/>
                <w:lang w:eastAsia="en-GB"/>
              </w:rPr>
            </w:pPr>
            <w:r>
              <w:rPr>
                <w:rFonts w:eastAsia="Times New Roman"/>
                <w:b/>
                <w:bCs/>
                <w:color w:val="000000"/>
                <w:sz w:val="22"/>
                <w:szCs w:val="22"/>
                <w:lang w:eastAsia="en-GB"/>
              </w:rPr>
              <w:t>64</w:t>
            </w:r>
          </w:p>
          <w:p w:rsidR="00F07CDF" w:rsidRPr="00031D02" w:rsidRDefault="00F07CDF" w:rsidP="00C95D38">
            <w:pPr>
              <w:rPr>
                <w:rFonts w:eastAsia="Times New Roman"/>
                <w:b/>
                <w:bCs/>
                <w:color w:val="000000"/>
                <w:sz w:val="22"/>
                <w:szCs w:val="22"/>
                <w:lang w:eastAsia="en-GB"/>
              </w:rPr>
            </w:pPr>
          </w:p>
        </w:tc>
        <w:tc>
          <w:tcPr>
            <w:tcW w:w="1390" w:type="dxa"/>
            <w:tcBorders>
              <w:top w:val="single" w:sz="4" w:space="0" w:color="auto"/>
              <w:left w:val="nil"/>
              <w:bottom w:val="single" w:sz="4" w:space="0" w:color="auto"/>
              <w:right w:val="single" w:sz="4" w:space="0" w:color="auto"/>
            </w:tcBorders>
            <w:shd w:val="clear" w:color="000000" w:fill="D8E4BC"/>
          </w:tcPr>
          <w:p w:rsidR="00F07CDF" w:rsidRPr="00031D02" w:rsidRDefault="00F07CDF" w:rsidP="00C95D38">
            <w:pPr>
              <w:rPr>
                <w:rFonts w:eastAsia="Times New Roman"/>
                <w:b/>
                <w:bCs/>
                <w:color w:val="000000"/>
                <w:sz w:val="22"/>
                <w:szCs w:val="22"/>
                <w:lang w:eastAsia="en-GB"/>
              </w:rPr>
            </w:pPr>
          </w:p>
        </w:tc>
      </w:tr>
      <w:tr w:rsidR="00F07CDF" w:rsidRPr="00031D02" w:rsidTr="00AA5C4F">
        <w:trPr>
          <w:trHeight w:val="348"/>
        </w:trPr>
        <w:tc>
          <w:tcPr>
            <w:tcW w:w="9149" w:type="dxa"/>
            <w:gridSpan w:val="6"/>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F07CDF" w:rsidRPr="00AA5C4F" w:rsidRDefault="00F07CDF" w:rsidP="00C95D38">
            <w:r>
              <w:t>Other Services</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Street Population Outreach Team,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St Mungo’s</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£350,893</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Specialist Homelessness Liaison Officer/Service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Thames Valley Police</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City Centre Ambassadors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£17,500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Day services for Rough Sleepers</w:t>
            </w:r>
            <w:r>
              <w:t xml:space="preserve"> at O’Hanlon House</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Homeless Oxfordshire</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£82,778</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p w:rsidR="00F07CDF" w:rsidRPr="00D43893" w:rsidRDefault="00F07CDF" w:rsidP="00C95D38">
            <w:r w:rsidRPr="00D43893">
              <w:t xml:space="preserve">Preventing Homelessness – Tenancy Sustainment Officer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Elmore Community Services</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£35,630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Pre-Tenancy Training Course</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Connections Support</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£16,000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Target Hardening/Sanctuary Scheme</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Education, Training and Employment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£77,623</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Emmaus Community Oxford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Emmaus</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£10,000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Day Centre</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The Porch</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£55,000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t>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Service Broker</w:t>
            </w:r>
          </w:p>
          <w:p w:rsidR="00F07CDF" w:rsidRPr="00D43893" w:rsidRDefault="00F07CDF" w:rsidP="00C95D38"/>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p w:rsidR="00F07CDF" w:rsidRPr="00D43893" w:rsidRDefault="00F07CDF" w:rsidP="00C95D38">
            <w:r w:rsidRPr="00D43893">
              <w:lastRenderedPageBreak/>
              <w:t>The Big Issue Foundation</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lastRenderedPageBreak/>
              <w:t>£12,500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t xml:space="preserve">No </w:t>
            </w:r>
            <w:r>
              <w:lastRenderedPageBreak/>
              <w:t>(although there is a KPI to encourage this)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lastRenderedPageBreak/>
              <w:t>Gatehouse Café</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Gatehouse</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£5,580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t xml:space="preserve"> 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Emergency Bed for young person’s pathway</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£6,134</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r w:rsidR="0019091C">
              <w:t xml:space="preserve"> (forward plan needs to be in place)</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Single Homelessness Team</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£120,000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N/A</w:t>
            </w:r>
          </w:p>
        </w:tc>
      </w:tr>
      <w:tr w:rsidR="00596C5B"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596C5B" w:rsidRPr="00D43893" w:rsidRDefault="00596C5B" w:rsidP="00C95D38"/>
        </w:tc>
        <w:tc>
          <w:tcPr>
            <w:tcW w:w="1551" w:type="dxa"/>
            <w:tcBorders>
              <w:top w:val="single" w:sz="4" w:space="0" w:color="auto"/>
              <w:left w:val="nil"/>
              <w:bottom w:val="single" w:sz="4" w:space="0" w:color="auto"/>
              <w:right w:val="single" w:sz="4" w:space="0" w:color="auto"/>
            </w:tcBorders>
            <w:shd w:val="clear" w:color="auto" w:fill="EEECE1" w:themeFill="background2"/>
          </w:tcPr>
          <w:p w:rsidR="00596C5B" w:rsidRPr="00D43893" w:rsidRDefault="00596C5B" w:rsidP="00C95D38"/>
        </w:tc>
        <w:tc>
          <w:tcPr>
            <w:tcW w:w="1628" w:type="dxa"/>
            <w:tcBorders>
              <w:top w:val="single" w:sz="4" w:space="0" w:color="auto"/>
              <w:left w:val="nil"/>
              <w:bottom w:val="single" w:sz="4" w:space="0" w:color="auto"/>
              <w:right w:val="single" w:sz="4" w:space="0" w:color="auto"/>
            </w:tcBorders>
            <w:shd w:val="clear" w:color="auto" w:fill="EEECE1" w:themeFill="background2"/>
          </w:tcPr>
          <w:p w:rsidR="00596C5B" w:rsidRPr="00D43893" w:rsidRDefault="00596C5B" w:rsidP="00C95D38"/>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596C5B" w:rsidRPr="00D43893" w:rsidRDefault="00596C5B"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596C5B" w:rsidRPr="00D43893" w:rsidRDefault="00596C5B"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596C5B" w:rsidRPr="00D43893" w:rsidRDefault="00596C5B" w:rsidP="00C95D38"/>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Oxford CHAIN database, Real Systems</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 xml:space="preserve">St </w:t>
            </w:r>
            <w:proofErr w:type="spellStart"/>
            <w:r w:rsidRPr="00D43893">
              <w:t>Mungos</w:t>
            </w:r>
            <w:proofErr w:type="spellEnd"/>
            <w:r w:rsidRPr="00D43893">
              <w:t xml:space="preserve"> - London.</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£4,396</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N/A</w:t>
            </w:r>
          </w:p>
        </w:tc>
      </w:tr>
    </w:tbl>
    <w:p w:rsidR="0061083C" w:rsidRDefault="0061083C" w:rsidP="00534A53"/>
    <w:p w:rsidR="0061083C" w:rsidRDefault="0061083C" w:rsidP="00534A53"/>
    <w:p w:rsidR="0061083C" w:rsidRPr="003C162A" w:rsidRDefault="0061083C" w:rsidP="00534A53">
      <w:pPr>
        <w:rPr>
          <w:color w:val="1F497D" w:themeColor="text2"/>
        </w:rPr>
      </w:pPr>
    </w:p>
    <w:p w:rsidR="00031D02" w:rsidRPr="00C95D38" w:rsidRDefault="00031D02" w:rsidP="00534A53">
      <w:pPr>
        <w:pStyle w:val="ListParagraph"/>
        <w:numPr>
          <w:ilvl w:val="0"/>
          <w:numId w:val="1"/>
        </w:numPr>
        <w:rPr>
          <w:b/>
          <w:sz w:val="22"/>
          <w:szCs w:val="22"/>
        </w:rPr>
      </w:pPr>
      <w:r w:rsidRPr="00C95D38">
        <w:rPr>
          <w:b/>
          <w:szCs w:val="22"/>
        </w:rPr>
        <w:t xml:space="preserve">Understanding the reconnection process for those without a local connection. </w:t>
      </w:r>
    </w:p>
    <w:p w:rsidR="00C95D38" w:rsidRPr="00C95D38" w:rsidRDefault="00C95D38" w:rsidP="00C95D38">
      <w:pPr>
        <w:pStyle w:val="ListParagraph"/>
        <w:ind w:left="360"/>
        <w:rPr>
          <w:b/>
          <w:sz w:val="22"/>
          <w:szCs w:val="22"/>
        </w:rPr>
      </w:pPr>
    </w:p>
    <w:p w:rsidR="004712D6" w:rsidRDefault="00A64A4F" w:rsidP="0019718C">
      <w:pPr>
        <w:pStyle w:val="NoSpacing"/>
      </w:pPr>
      <w:r>
        <w:t>The process</w:t>
      </w:r>
      <w:r w:rsidR="004712D6">
        <w:t xml:space="preserve"> of establishing local connection</w:t>
      </w:r>
      <w:r>
        <w:t xml:space="preserve"> is carried </w:t>
      </w:r>
      <w:r w:rsidR="0019091C">
        <w:t>out by</w:t>
      </w:r>
      <w:r w:rsidR="004712D6">
        <w:t xml:space="preserve"> </w:t>
      </w:r>
      <w:proofErr w:type="spellStart"/>
      <w:r w:rsidR="004712D6">
        <w:t>OxSPOT</w:t>
      </w:r>
      <w:proofErr w:type="spellEnd"/>
      <w:r w:rsidR="00DD3A40" w:rsidRPr="00DD3A40">
        <w:t xml:space="preserve"> </w:t>
      </w:r>
      <w:r w:rsidR="004712D6">
        <w:t>(</w:t>
      </w:r>
      <w:r w:rsidR="00DD3A40" w:rsidRPr="00DD3A40">
        <w:t>the</w:t>
      </w:r>
      <w:r w:rsidR="004712D6">
        <w:t xml:space="preserve"> outreach service commissioned through St </w:t>
      </w:r>
      <w:proofErr w:type="spellStart"/>
      <w:r w:rsidR="004712D6">
        <w:t>Mungos</w:t>
      </w:r>
      <w:proofErr w:type="spellEnd"/>
      <w:r w:rsidR="004712D6">
        <w:t xml:space="preserve">), in conjunction with the Adult Homeless Pathway Co-ordinator at </w:t>
      </w:r>
      <w:r w:rsidR="00F50DA2">
        <w:t>the City Council</w:t>
      </w:r>
      <w:r>
        <w:t>. The outreach worker verifies</w:t>
      </w:r>
      <w:r w:rsidR="00DD3A40" w:rsidRPr="00DD3A40">
        <w:t xml:space="preserve"> the rough sleeper </w:t>
      </w:r>
      <w:r w:rsidR="00DD3A40">
        <w:t>and offer</w:t>
      </w:r>
      <w:r>
        <w:t>s</w:t>
      </w:r>
      <w:r w:rsidR="00DD3A40">
        <w:t xml:space="preserve"> them an assessment</w:t>
      </w:r>
      <w:r w:rsidR="00DF273F">
        <w:t xml:space="preserve">, which will </w:t>
      </w:r>
      <w:r w:rsidR="002243A8">
        <w:t>collect details that enable the co-ordinator to determine if:</w:t>
      </w:r>
    </w:p>
    <w:p w:rsidR="00F50DA2" w:rsidRDefault="00DD3A40" w:rsidP="0019718C">
      <w:pPr>
        <w:pStyle w:val="NoSpacing"/>
        <w:numPr>
          <w:ilvl w:val="0"/>
          <w:numId w:val="33"/>
        </w:numPr>
        <w:ind w:left="1560" w:hanging="425"/>
      </w:pPr>
      <w:r w:rsidRPr="00DD3A40">
        <w:t>the client has a connection to City/</w:t>
      </w:r>
    </w:p>
    <w:p w:rsidR="00DD3A40" w:rsidRPr="00DD3A40" w:rsidRDefault="00F50DA2" w:rsidP="0019718C">
      <w:pPr>
        <w:pStyle w:val="NoSpacing"/>
        <w:numPr>
          <w:ilvl w:val="0"/>
          <w:numId w:val="33"/>
        </w:numPr>
        <w:ind w:left="1560" w:hanging="425"/>
      </w:pPr>
      <w:proofErr w:type="gramStart"/>
      <w:r>
        <w:t>the</w:t>
      </w:r>
      <w:proofErr w:type="gramEnd"/>
      <w:r>
        <w:t xml:space="preserve"> client has a connection to another d</w:t>
      </w:r>
      <w:r w:rsidR="00DD3A40" w:rsidRPr="00DD3A40">
        <w:t xml:space="preserve">istrict </w:t>
      </w:r>
      <w:r>
        <w:t xml:space="preserve">in Oxfordshire (in which case they </w:t>
      </w:r>
      <w:proofErr w:type="spellStart"/>
      <w:r>
        <w:t>wll</w:t>
      </w:r>
      <w:proofErr w:type="spellEnd"/>
      <w:r>
        <w:t xml:space="preserve"> be referred to that authority).</w:t>
      </w:r>
    </w:p>
    <w:p w:rsidR="004712D6" w:rsidRPr="0058482F" w:rsidRDefault="00DD3A40" w:rsidP="0019718C">
      <w:pPr>
        <w:pStyle w:val="NoSpacing"/>
        <w:ind w:left="1560"/>
      </w:pPr>
      <w:proofErr w:type="gramStart"/>
      <w:r w:rsidRPr="0058482F">
        <w:t>if</w:t>
      </w:r>
      <w:proofErr w:type="gramEnd"/>
      <w:r w:rsidRPr="0058482F">
        <w:t xml:space="preserve"> the client has a local connection to another area in the Country</w:t>
      </w:r>
    </w:p>
    <w:p w:rsidR="00DD3A40" w:rsidRPr="0058482F" w:rsidRDefault="004712D6" w:rsidP="0019718C">
      <w:pPr>
        <w:pStyle w:val="NoSpacing"/>
      </w:pPr>
      <w:r>
        <w:t>Where the client does not have a connection to Oxford City or another Oxfordshire district, the outreach service will</w:t>
      </w:r>
      <w:r w:rsidR="00F50DA2">
        <w:t xml:space="preserve"> determine if</w:t>
      </w:r>
      <w:r w:rsidR="00DD3A40" w:rsidRPr="0058482F">
        <w:t xml:space="preserve"> the client is able to access accommodation/support in other areas of the country (regardless of their connection to any one area)</w:t>
      </w:r>
      <w:r w:rsidR="00F50DA2">
        <w:t xml:space="preserve">, and </w:t>
      </w:r>
      <w:proofErr w:type="spellStart"/>
      <w:r w:rsidR="00F50DA2">
        <w:t>will</w:t>
      </w:r>
      <w:r w:rsidR="00DD3A40" w:rsidRPr="0058482F">
        <w:t>draw</w:t>
      </w:r>
      <w:proofErr w:type="spellEnd"/>
      <w:r w:rsidR="00DD3A40" w:rsidRPr="0058482F">
        <w:t xml:space="preserve"> up a suitable offer of accommodati</w:t>
      </w:r>
      <w:r w:rsidR="00DD3A40">
        <w:t>on and support</w:t>
      </w:r>
      <w:r w:rsidR="00DF273F">
        <w:t xml:space="preserve"> (</w:t>
      </w:r>
      <w:r w:rsidR="00DD3A40">
        <w:t>a service offer</w:t>
      </w:r>
      <w:r w:rsidR="00DF273F">
        <w:t>)</w:t>
      </w:r>
      <w:r w:rsidR="00DD3A40">
        <w:t>.</w:t>
      </w:r>
      <w:r w:rsidR="00F50DA2">
        <w:t xml:space="preserve"> This may involve making an offer of reconnection </w:t>
      </w:r>
      <w:r w:rsidR="002243A8">
        <w:t>and providing resources to support this.</w:t>
      </w:r>
    </w:p>
    <w:p w:rsidR="00DD3A40" w:rsidRDefault="00DD3A40" w:rsidP="00EC1FE3">
      <w:pPr>
        <w:rPr>
          <w:b/>
        </w:rPr>
      </w:pPr>
    </w:p>
    <w:p w:rsidR="00877C02" w:rsidRDefault="001846C3" w:rsidP="001846C3">
      <w:pPr>
        <w:tabs>
          <w:tab w:val="left" w:pos="7440"/>
        </w:tabs>
        <w:spacing w:after="200" w:line="276" w:lineRule="auto"/>
        <w:rPr>
          <w:b/>
        </w:rPr>
      </w:pPr>
      <w:r>
        <w:rPr>
          <w:b/>
        </w:rPr>
        <w:tab/>
      </w:r>
    </w:p>
    <w:p w:rsidR="0061083C" w:rsidRDefault="0061083C">
      <w:pPr>
        <w:rPr>
          <w:b/>
        </w:rPr>
      </w:pPr>
    </w:p>
    <w:sectPr w:rsidR="006108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D9" w:rsidRDefault="003D16D9" w:rsidP="003D16D9">
      <w:r>
        <w:separator/>
      </w:r>
    </w:p>
  </w:endnote>
  <w:endnote w:type="continuationSeparator" w:id="0">
    <w:p w:rsidR="003D16D9" w:rsidRDefault="003D16D9" w:rsidP="003D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D9" w:rsidRDefault="003D16D9" w:rsidP="003D16D9">
      <w:r>
        <w:separator/>
      </w:r>
    </w:p>
  </w:footnote>
  <w:footnote w:type="continuationSeparator" w:id="0">
    <w:p w:rsidR="003D16D9" w:rsidRDefault="003D16D9" w:rsidP="003D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8D7"/>
    <w:multiLevelType w:val="multilevel"/>
    <w:tmpl w:val="1538454E"/>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2."/>
      <w:lvlJc w:val="left"/>
      <w:pPr>
        <w:tabs>
          <w:tab w:val="num" w:pos="860"/>
        </w:tabs>
        <w:ind w:left="860" w:hanging="576"/>
      </w:pPr>
      <w:rPr>
        <w:rFonts w:ascii="Arial" w:eastAsia="Times New Roman" w:hAnsi="Arial" w:cs="Arial"/>
        <w:b/>
        <w:i w:val="0"/>
        <w:sz w:val="28"/>
      </w:rPr>
    </w:lvl>
    <w:lvl w:ilvl="2">
      <w:start w:val="1"/>
      <w:numFmt w:val="decimal"/>
      <w:pStyle w:val="Heading3"/>
      <w:lvlText w:val="%1.%2.%3"/>
      <w:lvlJc w:val="left"/>
      <w:pPr>
        <w:tabs>
          <w:tab w:val="num" w:pos="1145"/>
        </w:tabs>
        <w:ind w:left="1145" w:hanging="720"/>
      </w:pPr>
      <w:rPr>
        <w:rFonts w:hint="default"/>
        <w:b w:val="0"/>
        <w:i w:val="0"/>
        <w:color w:val="7F7F7F"/>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5941BDA"/>
    <w:multiLevelType w:val="hybridMultilevel"/>
    <w:tmpl w:val="6F7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D6E9B"/>
    <w:multiLevelType w:val="hybridMultilevel"/>
    <w:tmpl w:val="D6AC40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3F1134"/>
    <w:multiLevelType w:val="hybridMultilevel"/>
    <w:tmpl w:val="8DE6490C"/>
    <w:lvl w:ilvl="0" w:tplc="04090001">
      <w:start w:val="1"/>
      <w:numFmt w:val="bullet"/>
      <w:lvlText w:val=""/>
      <w:lvlJc w:val="left"/>
      <w:pPr>
        <w:tabs>
          <w:tab w:val="num" w:pos="720"/>
        </w:tabs>
        <w:ind w:left="720" w:hanging="360"/>
      </w:pPr>
      <w:rPr>
        <w:rFonts w:ascii="Symbol" w:hAnsi="Symbol" w:hint="default"/>
      </w:rPr>
    </w:lvl>
    <w:lvl w:ilvl="1" w:tplc="A3E287B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36215"/>
    <w:multiLevelType w:val="hybridMultilevel"/>
    <w:tmpl w:val="00E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55D2"/>
    <w:multiLevelType w:val="hybridMultilevel"/>
    <w:tmpl w:val="142AE08C"/>
    <w:lvl w:ilvl="0" w:tplc="1A9053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7B251E"/>
    <w:multiLevelType w:val="hybridMultilevel"/>
    <w:tmpl w:val="71E25736"/>
    <w:lvl w:ilvl="0" w:tplc="A40E2F80">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31EA2"/>
    <w:multiLevelType w:val="hybridMultilevel"/>
    <w:tmpl w:val="DED6313E"/>
    <w:lvl w:ilvl="0" w:tplc="A40E2F80">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5D64E6"/>
    <w:multiLevelType w:val="hybridMultilevel"/>
    <w:tmpl w:val="3B72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93EA8"/>
    <w:multiLevelType w:val="hybridMultilevel"/>
    <w:tmpl w:val="FA0E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92F61"/>
    <w:multiLevelType w:val="hybridMultilevel"/>
    <w:tmpl w:val="D44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23F86"/>
    <w:multiLevelType w:val="hybridMultilevel"/>
    <w:tmpl w:val="7F9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37BA2"/>
    <w:multiLevelType w:val="hybridMultilevel"/>
    <w:tmpl w:val="8C42619E"/>
    <w:lvl w:ilvl="0" w:tplc="36DE32D4">
      <w:start w:val="1"/>
      <w:numFmt w:val="decimal"/>
      <w:lvlText w:val="%1."/>
      <w:lvlJc w:val="left"/>
      <w:pPr>
        <w:ind w:left="360" w:hanging="360"/>
      </w:pPr>
      <w:rPr>
        <w:b/>
        <w:i w:val="0"/>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0B018A8"/>
    <w:multiLevelType w:val="hybridMultilevel"/>
    <w:tmpl w:val="284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D35C7"/>
    <w:multiLevelType w:val="hybridMultilevel"/>
    <w:tmpl w:val="9344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257BA1"/>
    <w:multiLevelType w:val="hybridMultilevel"/>
    <w:tmpl w:val="62827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004BE0"/>
    <w:multiLevelType w:val="hybridMultilevel"/>
    <w:tmpl w:val="5026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E7145"/>
    <w:multiLevelType w:val="hybridMultilevel"/>
    <w:tmpl w:val="7514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5562A"/>
    <w:multiLevelType w:val="hybridMultilevel"/>
    <w:tmpl w:val="7D1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A3D8E"/>
    <w:multiLevelType w:val="hybridMultilevel"/>
    <w:tmpl w:val="7ED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A24A00"/>
    <w:multiLevelType w:val="hybridMultilevel"/>
    <w:tmpl w:val="41D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732C6D"/>
    <w:multiLevelType w:val="hybridMultilevel"/>
    <w:tmpl w:val="D1787BCA"/>
    <w:lvl w:ilvl="0" w:tplc="345E4C46">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E41392"/>
    <w:multiLevelType w:val="hybridMultilevel"/>
    <w:tmpl w:val="0930BDEC"/>
    <w:lvl w:ilvl="0" w:tplc="F5985784">
      <w:start w:val="2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B91856"/>
    <w:multiLevelType w:val="hybridMultilevel"/>
    <w:tmpl w:val="952E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733A19"/>
    <w:multiLevelType w:val="hybridMultilevel"/>
    <w:tmpl w:val="ECFAC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EA4B22"/>
    <w:multiLevelType w:val="hybridMultilevel"/>
    <w:tmpl w:val="B2CCEF94"/>
    <w:lvl w:ilvl="0" w:tplc="9110A81E">
      <w:start w:val="4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E00ECE"/>
    <w:multiLevelType w:val="hybridMultilevel"/>
    <w:tmpl w:val="88E08F44"/>
    <w:lvl w:ilvl="0" w:tplc="1A9053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79D6392"/>
    <w:multiLevelType w:val="hybridMultilevel"/>
    <w:tmpl w:val="6A42B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29680E"/>
    <w:multiLevelType w:val="hybridMultilevel"/>
    <w:tmpl w:val="5C0821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E15266"/>
    <w:multiLevelType w:val="hybridMultilevel"/>
    <w:tmpl w:val="E47047DC"/>
    <w:lvl w:ilvl="0" w:tplc="4762D222">
      <w:start w:val="1"/>
      <w:numFmt w:val="decimal"/>
      <w:lvlText w:val="%1."/>
      <w:lvlJc w:val="left"/>
      <w:pPr>
        <w:ind w:left="720" w:hanging="360"/>
      </w:pPr>
      <w:rPr>
        <w:b w:val="0"/>
        <w:i w:val="0"/>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BEC0A0D"/>
    <w:multiLevelType w:val="hybridMultilevel"/>
    <w:tmpl w:val="EA824318"/>
    <w:lvl w:ilvl="0" w:tplc="43069D9A">
      <w:start w:val="2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DA80A42"/>
    <w:multiLevelType w:val="hybridMultilevel"/>
    <w:tmpl w:val="86AA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3B2CE4"/>
    <w:multiLevelType w:val="hybridMultilevel"/>
    <w:tmpl w:val="D706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770851"/>
    <w:multiLevelType w:val="hybridMultilevel"/>
    <w:tmpl w:val="80BA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813F5C"/>
    <w:multiLevelType w:val="hybridMultilevel"/>
    <w:tmpl w:val="F6E2D95A"/>
    <w:lvl w:ilvl="0" w:tplc="0388D250">
      <w:start w:val="2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86019A"/>
    <w:multiLevelType w:val="hybridMultilevel"/>
    <w:tmpl w:val="42A29D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C0005E"/>
    <w:multiLevelType w:val="hybridMultilevel"/>
    <w:tmpl w:val="A56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6329A6"/>
    <w:multiLevelType w:val="hybridMultilevel"/>
    <w:tmpl w:val="DAFCA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211F8B"/>
    <w:multiLevelType w:val="hybridMultilevel"/>
    <w:tmpl w:val="97DE8490"/>
    <w:lvl w:ilvl="0" w:tplc="4426CA96">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A024AF"/>
    <w:multiLevelType w:val="hybridMultilevel"/>
    <w:tmpl w:val="0D54D18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8"/>
  </w:num>
  <w:num w:numId="3">
    <w:abstractNumId w:val="13"/>
  </w:num>
  <w:num w:numId="4">
    <w:abstractNumId w:val="35"/>
  </w:num>
  <w:num w:numId="5">
    <w:abstractNumId w:val="37"/>
  </w:num>
  <w:num w:numId="6">
    <w:abstractNumId w:val="33"/>
  </w:num>
  <w:num w:numId="7">
    <w:abstractNumId w:val="16"/>
  </w:num>
  <w:num w:numId="8">
    <w:abstractNumId w:val="4"/>
  </w:num>
  <w:num w:numId="9">
    <w:abstractNumId w:val="17"/>
  </w:num>
  <w:num w:numId="10">
    <w:abstractNumId w:val="5"/>
  </w:num>
  <w:num w:numId="11">
    <w:abstractNumId w:val="23"/>
  </w:num>
  <w:num w:numId="12">
    <w:abstractNumId w:val="12"/>
  </w:num>
  <w:num w:numId="13">
    <w:abstractNumId w:val="29"/>
  </w:num>
  <w:num w:numId="14">
    <w:abstractNumId w:val="24"/>
  </w:num>
  <w:num w:numId="15">
    <w:abstractNumId w:val="2"/>
  </w:num>
  <w:num w:numId="16">
    <w:abstractNumId w:val="0"/>
  </w:num>
  <w:num w:numId="17">
    <w:abstractNumId w:val="31"/>
  </w:num>
  <w:num w:numId="18">
    <w:abstractNumId w:val="3"/>
  </w:num>
  <w:num w:numId="19">
    <w:abstractNumId w:val="39"/>
  </w:num>
  <w:num w:numId="20">
    <w:abstractNumId w:val="15"/>
  </w:num>
  <w:num w:numId="21">
    <w:abstractNumId w:val="14"/>
  </w:num>
  <w:num w:numId="22">
    <w:abstractNumId w:val="28"/>
  </w:num>
  <w:num w:numId="23">
    <w:abstractNumId w:val="26"/>
  </w:num>
  <w:num w:numId="24">
    <w:abstractNumId w:val="27"/>
  </w:num>
  <w:num w:numId="25">
    <w:abstractNumId w:val="21"/>
  </w:num>
  <w:num w:numId="26">
    <w:abstractNumId w:val="6"/>
  </w:num>
  <w:num w:numId="27">
    <w:abstractNumId w:val="7"/>
  </w:num>
  <w:num w:numId="28">
    <w:abstractNumId w:val="38"/>
  </w:num>
  <w:num w:numId="29">
    <w:abstractNumId w:val="30"/>
  </w:num>
  <w:num w:numId="30">
    <w:abstractNumId w:val="22"/>
  </w:num>
  <w:num w:numId="31">
    <w:abstractNumId w:val="34"/>
  </w:num>
  <w:num w:numId="32">
    <w:abstractNumId w:val="25"/>
  </w:num>
  <w:num w:numId="33">
    <w:abstractNumId w:val="1"/>
  </w:num>
  <w:num w:numId="34">
    <w:abstractNumId w:val="19"/>
  </w:num>
  <w:num w:numId="35">
    <w:abstractNumId w:val="10"/>
  </w:num>
  <w:num w:numId="36">
    <w:abstractNumId w:val="9"/>
  </w:num>
  <w:num w:numId="37">
    <w:abstractNumId w:val="18"/>
  </w:num>
  <w:num w:numId="38">
    <w:abstractNumId w:val="11"/>
  </w:num>
  <w:num w:numId="39">
    <w:abstractNumId w:val="20"/>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F"/>
    <w:rsid w:val="00031D02"/>
    <w:rsid w:val="000718EF"/>
    <w:rsid w:val="000B4310"/>
    <w:rsid w:val="00115A12"/>
    <w:rsid w:val="00165C73"/>
    <w:rsid w:val="001846C3"/>
    <w:rsid w:val="0019091C"/>
    <w:rsid w:val="0019718C"/>
    <w:rsid w:val="001A6160"/>
    <w:rsid w:val="001F31A2"/>
    <w:rsid w:val="002243A8"/>
    <w:rsid w:val="002477B8"/>
    <w:rsid w:val="002941E7"/>
    <w:rsid w:val="00297930"/>
    <w:rsid w:val="0032294D"/>
    <w:rsid w:val="00354CC3"/>
    <w:rsid w:val="003C162A"/>
    <w:rsid w:val="003D16D9"/>
    <w:rsid w:val="004000D7"/>
    <w:rsid w:val="00446676"/>
    <w:rsid w:val="004712D6"/>
    <w:rsid w:val="00486BEC"/>
    <w:rsid w:val="004D3262"/>
    <w:rsid w:val="00504E43"/>
    <w:rsid w:val="005259B1"/>
    <w:rsid w:val="00534A53"/>
    <w:rsid w:val="005765CC"/>
    <w:rsid w:val="0058482F"/>
    <w:rsid w:val="00596C5B"/>
    <w:rsid w:val="006005D6"/>
    <w:rsid w:val="006067A3"/>
    <w:rsid w:val="0061083C"/>
    <w:rsid w:val="00656B7A"/>
    <w:rsid w:val="006B54D3"/>
    <w:rsid w:val="006C7754"/>
    <w:rsid w:val="006F73CD"/>
    <w:rsid w:val="00715D6F"/>
    <w:rsid w:val="007908F4"/>
    <w:rsid w:val="007B3D7A"/>
    <w:rsid w:val="00846729"/>
    <w:rsid w:val="00877C02"/>
    <w:rsid w:val="008A22C6"/>
    <w:rsid w:val="008A257F"/>
    <w:rsid w:val="0092010F"/>
    <w:rsid w:val="00934872"/>
    <w:rsid w:val="00951EB0"/>
    <w:rsid w:val="00962934"/>
    <w:rsid w:val="00994D72"/>
    <w:rsid w:val="00A17E17"/>
    <w:rsid w:val="00A64A4F"/>
    <w:rsid w:val="00A66D9F"/>
    <w:rsid w:val="00AA5C4F"/>
    <w:rsid w:val="00B35C82"/>
    <w:rsid w:val="00B3682B"/>
    <w:rsid w:val="00B3695D"/>
    <w:rsid w:val="00B41C30"/>
    <w:rsid w:val="00B53D71"/>
    <w:rsid w:val="00B577A1"/>
    <w:rsid w:val="00B608D8"/>
    <w:rsid w:val="00BA6576"/>
    <w:rsid w:val="00C07F80"/>
    <w:rsid w:val="00C16909"/>
    <w:rsid w:val="00C95D38"/>
    <w:rsid w:val="00D15343"/>
    <w:rsid w:val="00D4300E"/>
    <w:rsid w:val="00D43893"/>
    <w:rsid w:val="00DD3A40"/>
    <w:rsid w:val="00DF273F"/>
    <w:rsid w:val="00E64B1D"/>
    <w:rsid w:val="00E754B9"/>
    <w:rsid w:val="00EC1FE3"/>
    <w:rsid w:val="00F07CDF"/>
    <w:rsid w:val="00F10B56"/>
    <w:rsid w:val="00F50DA2"/>
    <w:rsid w:val="00F85C83"/>
    <w:rsid w:val="00F94238"/>
    <w:rsid w:val="00FA542D"/>
    <w:rsid w:val="00FD3A85"/>
    <w:rsid w:val="00FE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9F"/>
  </w:style>
  <w:style w:type="paragraph" w:styleId="Heading1">
    <w:name w:val="heading 1"/>
    <w:basedOn w:val="Normal"/>
    <w:next w:val="Normal"/>
    <w:link w:val="Heading1Char"/>
    <w:qFormat/>
    <w:rsid w:val="00951EB0"/>
    <w:pPr>
      <w:keepNext/>
      <w:numPr>
        <w:numId w:val="16"/>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951EB0"/>
    <w:pPr>
      <w:keepNext/>
      <w:numPr>
        <w:ilvl w:val="1"/>
        <w:numId w:val="16"/>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51EB0"/>
    <w:pPr>
      <w:keepNext/>
      <w:numPr>
        <w:ilvl w:val="2"/>
        <w:numId w:val="16"/>
      </w:numPr>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51EB0"/>
    <w:pPr>
      <w:keepNext/>
      <w:numPr>
        <w:ilvl w:val="3"/>
        <w:numId w:val="16"/>
      </w:numPr>
      <w:spacing w:before="240" w:after="60"/>
      <w:outlineLvl w:val="3"/>
    </w:pPr>
    <w:rPr>
      <w:rFonts w:eastAsia="Times New Roman" w:cs="Times New Roman"/>
      <w:bCs/>
      <w:szCs w:val="28"/>
      <w:lang w:eastAsia="en-GB"/>
    </w:rPr>
  </w:style>
  <w:style w:type="paragraph" w:styleId="Heading5">
    <w:name w:val="heading 5"/>
    <w:basedOn w:val="Normal"/>
    <w:next w:val="Normal"/>
    <w:link w:val="Heading5Char"/>
    <w:qFormat/>
    <w:rsid w:val="00951EB0"/>
    <w:pPr>
      <w:numPr>
        <w:ilvl w:val="4"/>
        <w:numId w:val="16"/>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951EB0"/>
    <w:pPr>
      <w:numPr>
        <w:ilvl w:val="5"/>
        <w:numId w:val="16"/>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951EB0"/>
    <w:pPr>
      <w:numPr>
        <w:ilvl w:val="6"/>
        <w:numId w:val="16"/>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951EB0"/>
    <w:pPr>
      <w:numPr>
        <w:ilvl w:val="7"/>
        <w:numId w:val="16"/>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951EB0"/>
    <w:pPr>
      <w:numPr>
        <w:ilvl w:val="8"/>
        <w:numId w:val="16"/>
      </w:numPr>
      <w:spacing w:before="240" w:after="60"/>
      <w:outlineLvl w:val="8"/>
    </w:pPr>
    <w:rPr>
      <w:rFonts w:eastAsia="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72"/>
    <w:pPr>
      <w:ind w:left="720"/>
      <w:contextualSpacing/>
    </w:pPr>
  </w:style>
  <w:style w:type="table" w:customStyle="1" w:styleId="TableGrid1">
    <w:name w:val="Table Grid1"/>
    <w:basedOn w:val="TableNormal"/>
    <w:next w:val="TableGrid"/>
    <w:uiPriority w:val="59"/>
    <w:rsid w:val="004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6D9"/>
    <w:pPr>
      <w:tabs>
        <w:tab w:val="center" w:pos="4513"/>
        <w:tab w:val="right" w:pos="9026"/>
      </w:tabs>
    </w:pPr>
  </w:style>
  <w:style w:type="character" w:customStyle="1" w:styleId="HeaderChar">
    <w:name w:val="Header Char"/>
    <w:basedOn w:val="DefaultParagraphFont"/>
    <w:link w:val="Header"/>
    <w:uiPriority w:val="99"/>
    <w:rsid w:val="003D16D9"/>
  </w:style>
  <w:style w:type="paragraph" w:styleId="Footer">
    <w:name w:val="footer"/>
    <w:basedOn w:val="Normal"/>
    <w:link w:val="FooterChar"/>
    <w:uiPriority w:val="99"/>
    <w:unhideWhenUsed/>
    <w:rsid w:val="003D16D9"/>
    <w:pPr>
      <w:tabs>
        <w:tab w:val="center" w:pos="4513"/>
        <w:tab w:val="right" w:pos="9026"/>
      </w:tabs>
    </w:pPr>
  </w:style>
  <w:style w:type="character" w:customStyle="1" w:styleId="FooterChar">
    <w:name w:val="Footer Char"/>
    <w:basedOn w:val="DefaultParagraphFont"/>
    <w:link w:val="Footer"/>
    <w:uiPriority w:val="99"/>
    <w:rsid w:val="003D16D9"/>
  </w:style>
  <w:style w:type="paragraph" w:styleId="FootnoteText">
    <w:name w:val="footnote text"/>
    <w:basedOn w:val="Normal"/>
    <w:link w:val="FootnoteTextChar"/>
    <w:uiPriority w:val="99"/>
    <w:semiHidden/>
    <w:unhideWhenUsed/>
    <w:rsid w:val="00B53D71"/>
    <w:rPr>
      <w:sz w:val="20"/>
      <w:szCs w:val="20"/>
    </w:rPr>
  </w:style>
  <w:style w:type="character" w:customStyle="1" w:styleId="FootnoteTextChar">
    <w:name w:val="Footnote Text Char"/>
    <w:basedOn w:val="DefaultParagraphFont"/>
    <w:link w:val="FootnoteText"/>
    <w:uiPriority w:val="99"/>
    <w:semiHidden/>
    <w:rsid w:val="00B53D71"/>
    <w:rPr>
      <w:sz w:val="20"/>
      <w:szCs w:val="20"/>
    </w:rPr>
  </w:style>
  <w:style w:type="character" w:styleId="FootnoteReference">
    <w:name w:val="footnote reference"/>
    <w:basedOn w:val="DefaultParagraphFont"/>
    <w:uiPriority w:val="99"/>
    <w:semiHidden/>
    <w:unhideWhenUsed/>
    <w:rsid w:val="00B53D71"/>
    <w:rPr>
      <w:vertAlign w:val="superscript"/>
    </w:rPr>
  </w:style>
  <w:style w:type="character" w:customStyle="1" w:styleId="Heading1Char">
    <w:name w:val="Heading 1 Char"/>
    <w:basedOn w:val="DefaultParagraphFont"/>
    <w:link w:val="Heading1"/>
    <w:rsid w:val="00951EB0"/>
    <w:rPr>
      <w:rFonts w:eastAsia="Times New Roman"/>
      <w:b/>
      <w:bCs/>
      <w:kern w:val="32"/>
      <w:sz w:val="32"/>
      <w:szCs w:val="32"/>
      <w:lang w:eastAsia="en-GB"/>
    </w:rPr>
  </w:style>
  <w:style w:type="character" w:customStyle="1" w:styleId="Heading2Char">
    <w:name w:val="Heading 2 Char"/>
    <w:basedOn w:val="DefaultParagraphFont"/>
    <w:link w:val="Heading2"/>
    <w:rsid w:val="00951EB0"/>
    <w:rPr>
      <w:rFonts w:eastAsia="Times New Roman"/>
      <w:b/>
      <w:bCs/>
      <w:i/>
      <w:iCs/>
      <w:sz w:val="28"/>
      <w:szCs w:val="28"/>
      <w:lang w:eastAsia="en-GB"/>
    </w:rPr>
  </w:style>
  <w:style w:type="character" w:customStyle="1" w:styleId="Heading3Char">
    <w:name w:val="Heading 3 Char"/>
    <w:basedOn w:val="DefaultParagraphFont"/>
    <w:link w:val="Heading3"/>
    <w:rsid w:val="00951EB0"/>
    <w:rPr>
      <w:rFonts w:eastAsia="Times New Roman"/>
      <w:b/>
      <w:bCs/>
      <w:sz w:val="26"/>
      <w:szCs w:val="26"/>
      <w:lang w:eastAsia="en-GB"/>
    </w:rPr>
  </w:style>
  <w:style w:type="character" w:customStyle="1" w:styleId="Heading4Char">
    <w:name w:val="Heading 4 Char"/>
    <w:basedOn w:val="DefaultParagraphFont"/>
    <w:link w:val="Heading4"/>
    <w:rsid w:val="00951EB0"/>
    <w:rPr>
      <w:rFonts w:eastAsia="Times New Roman" w:cs="Times New Roman"/>
      <w:bCs/>
      <w:szCs w:val="28"/>
      <w:lang w:eastAsia="en-GB"/>
    </w:rPr>
  </w:style>
  <w:style w:type="character" w:customStyle="1" w:styleId="Heading5Char">
    <w:name w:val="Heading 5 Char"/>
    <w:basedOn w:val="DefaultParagraphFont"/>
    <w:link w:val="Heading5"/>
    <w:rsid w:val="00951EB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951EB0"/>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951EB0"/>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951EB0"/>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951EB0"/>
    <w:rPr>
      <w:rFonts w:eastAsia="Times New Roman"/>
      <w:sz w:val="22"/>
      <w:szCs w:val="22"/>
      <w:lang w:eastAsia="en-GB"/>
    </w:rPr>
  </w:style>
  <w:style w:type="paragraph" w:styleId="BodyText">
    <w:name w:val="Body Text"/>
    <w:basedOn w:val="Normal"/>
    <w:link w:val="BodyTextChar"/>
    <w:rsid w:val="00951EB0"/>
    <w:rPr>
      <w:rFonts w:eastAsia="Times New Roman"/>
      <w:sz w:val="22"/>
    </w:rPr>
  </w:style>
  <w:style w:type="character" w:customStyle="1" w:styleId="BodyTextChar">
    <w:name w:val="Body Text Char"/>
    <w:basedOn w:val="DefaultParagraphFont"/>
    <w:link w:val="BodyText"/>
    <w:rsid w:val="00951EB0"/>
    <w:rPr>
      <w:rFonts w:eastAsia="Times New Roman"/>
      <w:sz w:val="22"/>
    </w:rPr>
  </w:style>
  <w:style w:type="paragraph" w:styleId="NoSpacing">
    <w:name w:val="No Spacing"/>
    <w:uiPriority w:val="1"/>
    <w:qFormat/>
    <w:rsid w:val="00DD3A40"/>
  </w:style>
  <w:style w:type="paragraph" w:styleId="NormalWeb">
    <w:name w:val="Normal (Web)"/>
    <w:basedOn w:val="Normal"/>
    <w:uiPriority w:val="99"/>
    <w:semiHidden/>
    <w:unhideWhenUsed/>
    <w:rsid w:val="00DD3A4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083C"/>
    <w:rPr>
      <w:color w:val="0000FF" w:themeColor="hyperlink"/>
      <w:u w:val="single"/>
    </w:rPr>
  </w:style>
  <w:style w:type="character" w:styleId="FollowedHyperlink">
    <w:name w:val="FollowedHyperlink"/>
    <w:basedOn w:val="DefaultParagraphFont"/>
    <w:uiPriority w:val="99"/>
    <w:semiHidden/>
    <w:unhideWhenUsed/>
    <w:rsid w:val="0061083C"/>
    <w:rPr>
      <w:color w:val="800080" w:themeColor="followedHyperlink"/>
      <w:u w:val="single"/>
    </w:rPr>
  </w:style>
  <w:style w:type="paragraph" w:styleId="BalloonText">
    <w:name w:val="Balloon Text"/>
    <w:basedOn w:val="Normal"/>
    <w:link w:val="BalloonTextChar"/>
    <w:uiPriority w:val="99"/>
    <w:semiHidden/>
    <w:unhideWhenUsed/>
    <w:rsid w:val="00F10B56"/>
    <w:rPr>
      <w:rFonts w:ascii="Tahoma" w:hAnsi="Tahoma" w:cs="Tahoma"/>
      <w:sz w:val="16"/>
      <w:szCs w:val="16"/>
    </w:rPr>
  </w:style>
  <w:style w:type="character" w:customStyle="1" w:styleId="BalloonTextChar">
    <w:name w:val="Balloon Text Char"/>
    <w:basedOn w:val="DefaultParagraphFont"/>
    <w:link w:val="BalloonText"/>
    <w:uiPriority w:val="99"/>
    <w:semiHidden/>
    <w:rsid w:val="00F10B56"/>
    <w:rPr>
      <w:rFonts w:ascii="Tahoma" w:hAnsi="Tahoma" w:cs="Tahoma"/>
      <w:sz w:val="16"/>
      <w:szCs w:val="16"/>
    </w:rPr>
  </w:style>
  <w:style w:type="character" w:styleId="CommentReference">
    <w:name w:val="annotation reference"/>
    <w:basedOn w:val="DefaultParagraphFont"/>
    <w:uiPriority w:val="99"/>
    <w:semiHidden/>
    <w:unhideWhenUsed/>
    <w:rsid w:val="00DF273F"/>
    <w:rPr>
      <w:sz w:val="16"/>
      <w:szCs w:val="16"/>
    </w:rPr>
  </w:style>
  <w:style w:type="paragraph" w:styleId="CommentText">
    <w:name w:val="annotation text"/>
    <w:basedOn w:val="Normal"/>
    <w:link w:val="CommentTextChar"/>
    <w:uiPriority w:val="99"/>
    <w:semiHidden/>
    <w:unhideWhenUsed/>
    <w:rsid w:val="00DF273F"/>
    <w:rPr>
      <w:sz w:val="20"/>
      <w:szCs w:val="20"/>
    </w:rPr>
  </w:style>
  <w:style w:type="character" w:customStyle="1" w:styleId="CommentTextChar">
    <w:name w:val="Comment Text Char"/>
    <w:basedOn w:val="DefaultParagraphFont"/>
    <w:link w:val="CommentText"/>
    <w:uiPriority w:val="99"/>
    <w:semiHidden/>
    <w:rsid w:val="00DF273F"/>
    <w:rPr>
      <w:sz w:val="20"/>
      <w:szCs w:val="20"/>
    </w:rPr>
  </w:style>
  <w:style w:type="paragraph" w:styleId="CommentSubject">
    <w:name w:val="annotation subject"/>
    <w:basedOn w:val="CommentText"/>
    <w:next w:val="CommentText"/>
    <w:link w:val="CommentSubjectChar"/>
    <w:uiPriority w:val="99"/>
    <w:semiHidden/>
    <w:unhideWhenUsed/>
    <w:rsid w:val="00DF273F"/>
    <w:rPr>
      <w:b/>
      <w:bCs/>
    </w:rPr>
  </w:style>
  <w:style w:type="character" w:customStyle="1" w:styleId="CommentSubjectChar">
    <w:name w:val="Comment Subject Char"/>
    <w:basedOn w:val="CommentTextChar"/>
    <w:link w:val="CommentSubject"/>
    <w:uiPriority w:val="99"/>
    <w:semiHidden/>
    <w:rsid w:val="00DF27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9F"/>
  </w:style>
  <w:style w:type="paragraph" w:styleId="Heading1">
    <w:name w:val="heading 1"/>
    <w:basedOn w:val="Normal"/>
    <w:next w:val="Normal"/>
    <w:link w:val="Heading1Char"/>
    <w:qFormat/>
    <w:rsid w:val="00951EB0"/>
    <w:pPr>
      <w:keepNext/>
      <w:numPr>
        <w:numId w:val="16"/>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951EB0"/>
    <w:pPr>
      <w:keepNext/>
      <w:numPr>
        <w:ilvl w:val="1"/>
        <w:numId w:val="16"/>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51EB0"/>
    <w:pPr>
      <w:keepNext/>
      <w:numPr>
        <w:ilvl w:val="2"/>
        <w:numId w:val="16"/>
      </w:numPr>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51EB0"/>
    <w:pPr>
      <w:keepNext/>
      <w:numPr>
        <w:ilvl w:val="3"/>
        <w:numId w:val="16"/>
      </w:numPr>
      <w:spacing w:before="240" w:after="60"/>
      <w:outlineLvl w:val="3"/>
    </w:pPr>
    <w:rPr>
      <w:rFonts w:eastAsia="Times New Roman" w:cs="Times New Roman"/>
      <w:bCs/>
      <w:szCs w:val="28"/>
      <w:lang w:eastAsia="en-GB"/>
    </w:rPr>
  </w:style>
  <w:style w:type="paragraph" w:styleId="Heading5">
    <w:name w:val="heading 5"/>
    <w:basedOn w:val="Normal"/>
    <w:next w:val="Normal"/>
    <w:link w:val="Heading5Char"/>
    <w:qFormat/>
    <w:rsid w:val="00951EB0"/>
    <w:pPr>
      <w:numPr>
        <w:ilvl w:val="4"/>
        <w:numId w:val="16"/>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951EB0"/>
    <w:pPr>
      <w:numPr>
        <w:ilvl w:val="5"/>
        <w:numId w:val="16"/>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951EB0"/>
    <w:pPr>
      <w:numPr>
        <w:ilvl w:val="6"/>
        <w:numId w:val="16"/>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951EB0"/>
    <w:pPr>
      <w:numPr>
        <w:ilvl w:val="7"/>
        <w:numId w:val="16"/>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951EB0"/>
    <w:pPr>
      <w:numPr>
        <w:ilvl w:val="8"/>
        <w:numId w:val="16"/>
      </w:numPr>
      <w:spacing w:before="240" w:after="60"/>
      <w:outlineLvl w:val="8"/>
    </w:pPr>
    <w:rPr>
      <w:rFonts w:eastAsia="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72"/>
    <w:pPr>
      <w:ind w:left="720"/>
      <w:contextualSpacing/>
    </w:pPr>
  </w:style>
  <w:style w:type="table" w:customStyle="1" w:styleId="TableGrid1">
    <w:name w:val="Table Grid1"/>
    <w:basedOn w:val="TableNormal"/>
    <w:next w:val="TableGrid"/>
    <w:uiPriority w:val="59"/>
    <w:rsid w:val="004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6D9"/>
    <w:pPr>
      <w:tabs>
        <w:tab w:val="center" w:pos="4513"/>
        <w:tab w:val="right" w:pos="9026"/>
      </w:tabs>
    </w:pPr>
  </w:style>
  <w:style w:type="character" w:customStyle="1" w:styleId="HeaderChar">
    <w:name w:val="Header Char"/>
    <w:basedOn w:val="DefaultParagraphFont"/>
    <w:link w:val="Header"/>
    <w:uiPriority w:val="99"/>
    <w:rsid w:val="003D16D9"/>
  </w:style>
  <w:style w:type="paragraph" w:styleId="Footer">
    <w:name w:val="footer"/>
    <w:basedOn w:val="Normal"/>
    <w:link w:val="FooterChar"/>
    <w:uiPriority w:val="99"/>
    <w:unhideWhenUsed/>
    <w:rsid w:val="003D16D9"/>
    <w:pPr>
      <w:tabs>
        <w:tab w:val="center" w:pos="4513"/>
        <w:tab w:val="right" w:pos="9026"/>
      </w:tabs>
    </w:pPr>
  </w:style>
  <w:style w:type="character" w:customStyle="1" w:styleId="FooterChar">
    <w:name w:val="Footer Char"/>
    <w:basedOn w:val="DefaultParagraphFont"/>
    <w:link w:val="Footer"/>
    <w:uiPriority w:val="99"/>
    <w:rsid w:val="003D16D9"/>
  </w:style>
  <w:style w:type="paragraph" w:styleId="FootnoteText">
    <w:name w:val="footnote text"/>
    <w:basedOn w:val="Normal"/>
    <w:link w:val="FootnoteTextChar"/>
    <w:uiPriority w:val="99"/>
    <w:semiHidden/>
    <w:unhideWhenUsed/>
    <w:rsid w:val="00B53D71"/>
    <w:rPr>
      <w:sz w:val="20"/>
      <w:szCs w:val="20"/>
    </w:rPr>
  </w:style>
  <w:style w:type="character" w:customStyle="1" w:styleId="FootnoteTextChar">
    <w:name w:val="Footnote Text Char"/>
    <w:basedOn w:val="DefaultParagraphFont"/>
    <w:link w:val="FootnoteText"/>
    <w:uiPriority w:val="99"/>
    <w:semiHidden/>
    <w:rsid w:val="00B53D71"/>
    <w:rPr>
      <w:sz w:val="20"/>
      <w:szCs w:val="20"/>
    </w:rPr>
  </w:style>
  <w:style w:type="character" w:styleId="FootnoteReference">
    <w:name w:val="footnote reference"/>
    <w:basedOn w:val="DefaultParagraphFont"/>
    <w:uiPriority w:val="99"/>
    <w:semiHidden/>
    <w:unhideWhenUsed/>
    <w:rsid w:val="00B53D71"/>
    <w:rPr>
      <w:vertAlign w:val="superscript"/>
    </w:rPr>
  </w:style>
  <w:style w:type="character" w:customStyle="1" w:styleId="Heading1Char">
    <w:name w:val="Heading 1 Char"/>
    <w:basedOn w:val="DefaultParagraphFont"/>
    <w:link w:val="Heading1"/>
    <w:rsid w:val="00951EB0"/>
    <w:rPr>
      <w:rFonts w:eastAsia="Times New Roman"/>
      <w:b/>
      <w:bCs/>
      <w:kern w:val="32"/>
      <w:sz w:val="32"/>
      <w:szCs w:val="32"/>
      <w:lang w:eastAsia="en-GB"/>
    </w:rPr>
  </w:style>
  <w:style w:type="character" w:customStyle="1" w:styleId="Heading2Char">
    <w:name w:val="Heading 2 Char"/>
    <w:basedOn w:val="DefaultParagraphFont"/>
    <w:link w:val="Heading2"/>
    <w:rsid w:val="00951EB0"/>
    <w:rPr>
      <w:rFonts w:eastAsia="Times New Roman"/>
      <w:b/>
      <w:bCs/>
      <w:i/>
      <w:iCs/>
      <w:sz w:val="28"/>
      <w:szCs w:val="28"/>
      <w:lang w:eastAsia="en-GB"/>
    </w:rPr>
  </w:style>
  <w:style w:type="character" w:customStyle="1" w:styleId="Heading3Char">
    <w:name w:val="Heading 3 Char"/>
    <w:basedOn w:val="DefaultParagraphFont"/>
    <w:link w:val="Heading3"/>
    <w:rsid w:val="00951EB0"/>
    <w:rPr>
      <w:rFonts w:eastAsia="Times New Roman"/>
      <w:b/>
      <w:bCs/>
      <w:sz w:val="26"/>
      <w:szCs w:val="26"/>
      <w:lang w:eastAsia="en-GB"/>
    </w:rPr>
  </w:style>
  <w:style w:type="character" w:customStyle="1" w:styleId="Heading4Char">
    <w:name w:val="Heading 4 Char"/>
    <w:basedOn w:val="DefaultParagraphFont"/>
    <w:link w:val="Heading4"/>
    <w:rsid w:val="00951EB0"/>
    <w:rPr>
      <w:rFonts w:eastAsia="Times New Roman" w:cs="Times New Roman"/>
      <w:bCs/>
      <w:szCs w:val="28"/>
      <w:lang w:eastAsia="en-GB"/>
    </w:rPr>
  </w:style>
  <w:style w:type="character" w:customStyle="1" w:styleId="Heading5Char">
    <w:name w:val="Heading 5 Char"/>
    <w:basedOn w:val="DefaultParagraphFont"/>
    <w:link w:val="Heading5"/>
    <w:rsid w:val="00951EB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951EB0"/>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951EB0"/>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951EB0"/>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951EB0"/>
    <w:rPr>
      <w:rFonts w:eastAsia="Times New Roman"/>
      <w:sz w:val="22"/>
      <w:szCs w:val="22"/>
      <w:lang w:eastAsia="en-GB"/>
    </w:rPr>
  </w:style>
  <w:style w:type="paragraph" w:styleId="BodyText">
    <w:name w:val="Body Text"/>
    <w:basedOn w:val="Normal"/>
    <w:link w:val="BodyTextChar"/>
    <w:rsid w:val="00951EB0"/>
    <w:rPr>
      <w:rFonts w:eastAsia="Times New Roman"/>
      <w:sz w:val="22"/>
    </w:rPr>
  </w:style>
  <w:style w:type="character" w:customStyle="1" w:styleId="BodyTextChar">
    <w:name w:val="Body Text Char"/>
    <w:basedOn w:val="DefaultParagraphFont"/>
    <w:link w:val="BodyText"/>
    <w:rsid w:val="00951EB0"/>
    <w:rPr>
      <w:rFonts w:eastAsia="Times New Roman"/>
      <w:sz w:val="22"/>
    </w:rPr>
  </w:style>
  <w:style w:type="paragraph" w:styleId="NoSpacing">
    <w:name w:val="No Spacing"/>
    <w:uiPriority w:val="1"/>
    <w:qFormat/>
    <w:rsid w:val="00DD3A40"/>
  </w:style>
  <w:style w:type="paragraph" w:styleId="NormalWeb">
    <w:name w:val="Normal (Web)"/>
    <w:basedOn w:val="Normal"/>
    <w:uiPriority w:val="99"/>
    <w:semiHidden/>
    <w:unhideWhenUsed/>
    <w:rsid w:val="00DD3A4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083C"/>
    <w:rPr>
      <w:color w:val="0000FF" w:themeColor="hyperlink"/>
      <w:u w:val="single"/>
    </w:rPr>
  </w:style>
  <w:style w:type="character" w:styleId="FollowedHyperlink">
    <w:name w:val="FollowedHyperlink"/>
    <w:basedOn w:val="DefaultParagraphFont"/>
    <w:uiPriority w:val="99"/>
    <w:semiHidden/>
    <w:unhideWhenUsed/>
    <w:rsid w:val="0061083C"/>
    <w:rPr>
      <w:color w:val="800080" w:themeColor="followedHyperlink"/>
      <w:u w:val="single"/>
    </w:rPr>
  </w:style>
  <w:style w:type="paragraph" w:styleId="BalloonText">
    <w:name w:val="Balloon Text"/>
    <w:basedOn w:val="Normal"/>
    <w:link w:val="BalloonTextChar"/>
    <w:uiPriority w:val="99"/>
    <w:semiHidden/>
    <w:unhideWhenUsed/>
    <w:rsid w:val="00F10B56"/>
    <w:rPr>
      <w:rFonts w:ascii="Tahoma" w:hAnsi="Tahoma" w:cs="Tahoma"/>
      <w:sz w:val="16"/>
      <w:szCs w:val="16"/>
    </w:rPr>
  </w:style>
  <w:style w:type="character" w:customStyle="1" w:styleId="BalloonTextChar">
    <w:name w:val="Balloon Text Char"/>
    <w:basedOn w:val="DefaultParagraphFont"/>
    <w:link w:val="BalloonText"/>
    <w:uiPriority w:val="99"/>
    <w:semiHidden/>
    <w:rsid w:val="00F10B56"/>
    <w:rPr>
      <w:rFonts w:ascii="Tahoma" w:hAnsi="Tahoma" w:cs="Tahoma"/>
      <w:sz w:val="16"/>
      <w:szCs w:val="16"/>
    </w:rPr>
  </w:style>
  <w:style w:type="character" w:styleId="CommentReference">
    <w:name w:val="annotation reference"/>
    <w:basedOn w:val="DefaultParagraphFont"/>
    <w:uiPriority w:val="99"/>
    <w:semiHidden/>
    <w:unhideWhenUsed/>
    <w:rsid w:val="00DF273F"/>
    <w:rPr>
      <w:sz w:val="16"/>
      <w:szCs w:val="16"/>
    </w:rPr>
  </w:style>
  <w:style w:type="paragraph" w:styleId="CommentText">
    <w:name w:val="annotation text"/>
    <w:basedOn w:val="Normal"/>
    <w:link w:val="CommentTextChar"/>
    <w:uiPriority w:val="99"/>
    <w:semiHidden/>
    <w:unhideWhenUsed/>
    <w:rsid w:val="00DF273F"/>
    <w:rPr>
      <w:sz w:val="20"/>
      <w:szCs w:val="20"/>
    </w:rPr>
  </w:style>
  <w:style w:type="character" w:customStyle="1" w:styleId="CommentTextChar">
    <w:name w:val="Comment Text Char"/>
    <w:basedOn w:val="DefaultParagraphFont"/>
    <w:link w:val="CommentText"/>
    <w:uiPriority w:val="99"/>
    <w:semiHidden/>
    <w:rsid w:val="00DF273F"/>
    <w:rPr>
      <w:sz w:val="20"/>
      <w:szCs w:val="20"/>
    </w:rPr>
  </w:style>
  <w:style w:type="paragraph" w:styleId="CommentSubject">
    <w:name w:val="annotation subject"/>
    <w:basedOn w:val="CommentText"/>
    <w:next w:val="CommentText"/>
    <w:link w:val="CommentSubjectChar"/>
    <w:uiPriority w:val="99"/>
    <w:semiHidden/>
    <w:unhideWhenUsed/>
    <w:rsid w:val="00DF273F"/>
    <w:rPr>
      <w:b/>
      <w:bCs/>
    </w:rPr>
  </w:style>
  <w:style w:type="character" w:customStyle="1" w:styleId="CommentSubjectChar">
    <w:name w:val="Comment Subject Char"/>
    <w:basedOn w:val="CommentTextChar"/>
    <w:link w:val="CommentSubject"/>
    <w:uiPriority w:val="99"/>
    <w:semiHidden/>
    <w:rsid w:val="00DF2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89688">
      <w:bodyDiv w:val="1"/>
      <w:marLeft w:val="0"/>
      <w:marRight w:val="0"/>
      <w:marTop w:val="0"/>
      <w:marBottom w:val="0"/>
      <w:divBdr>
        <w:top w:val="none" w:sz="0" w:space="0" w:color="auto"/>
        <w:left w:val="none" w:sz="0" w:space="0" w:color="auto"/>
        <w:bottom w:val="none" w:sz="0" w:space="0" w:color="auto"/>
        <w:right w:val="none" w:sz="0" w:space="0" w:color="auto"/>
      </w:divBdr>
    </w:div>
    <w:div w:id="1004434253">
      <w:bodyDiv w:val="1"/>
      <w:marLeft w:val="0"/>
      <w:marRight w:val="0"/>
      <w:marTop w:val="0"/>
      <w:marBottom w:val="0"/>
      <w:divBdr>
        <w:top w:val="none" w:sz="0" w:space="0" w:color="auto"/>
        <w:left w:val="none" w:sz="0" w:space="0" w:color="auto"/>
        <w:bottom w:val="none" w:sz="0" w:space="0" w:color="auto"/>
        <w:right w:val="none" w:sz="0" w:space="0" w:color="auto"/>
      </w:divBdr>
      <w:divsChild>
        <w:div w:id="1692027550">
          <w:marLeft w:val="0"/>
          <w:marRight w:val="0"/>
          <w:marTop w:val="0"/>
          <w:marBottom w:val="0"/>
          <w:divBdr>
            <w:top w:val="none" w:sz="0" w:space="0" w:color="auto"/>
            <w:left w:val="none" w:sz="0" w:space="0" w:color="auto"/>
            <w:bottom w:val="none" w:sz="0" w:space="0" w:color="auto"/>
            <w:right w:val="none" w:sz="0" w:space="0" w:color="auto"/>
          </w:divBdr>
          <w:divsChild>
            <w:div w:id="778450593">
              <w:marLeft w:val="0"/>
              <w:marRight w:val="0"/>
              <w:marTop w:val="0"/>
              <w:marBottom w:val="0"/>
              <w:divBdr>
                <w:top w:val="none" w:sz="0" w:space="0" w:color="auto"/>
                <w:left w:val="none" w:sz="0" w:space="0" w:color="auto"/>
                <w:bottom w:val="none" w:sz="0" w:space="0" w:color="auto"/>
                <w:right w:val="none" w:sz="0" w:space="0" w:color="auto"/>
              </w:divBdr>
              <w:divsChild>
                <w:div w:id="21463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3604">
      <w:bodyDiv w:val="1"/>
      <w:marLeft w:val="0"/>
      <w:marRight w:val="0"/>
      <w:marTop w:val="0"/>
      <w:marBottom w:val="0"/>
      <w:divBdr>
        <w:top w:val="none" w:sz="0" w:space="0" w:color="auto"/>
        <w:left w:val="none" w:sz="0" w:space="0" w:color="auto"/>
        <w:bottom w:val="none" w:sz="0" w:space="0" w:color="auto"/>
        <w:right w:val="none" w:sz="0" w:space="0" w:color="auto"/>
      </w:divBdr>
    </w:div>
    <w:div w:id="1477333148">
      <w:bodyDiv w:val="1"/>
      <w:marLeft w:val="0"/>
      <w:marRight w:val="0"/>
      <w:marTop w:val="0"/>
      <w:marBottom w:val="0"/>
      <w:divBdr>
        <w:top w:val="none" w:sz="0" w:space="0" w:color="auto"/>
        <w:left w:val="none" w:sz="0" w:space="0" w:color="auto"/>
        <w:bottom w:val="none" w:sz="0" w:space="0" w:color="auto"/>
        <w:right w:val="none" w:sz="0" w:space="0" w:color="auto"/>
      </w:divBdr>
    </w:div>
    <w:div w:id="1527869234">
      <w:bodyDiv w:val="1"/>
      <w:marLeft w:val="0"/>
      <w:marRight w:val="0"/>
      <w:marTop w:val="0"/>
      <w:marBottom w:val="0"/>
      <w:divBdr>
        <w:top w:val="none" w:sz="0" w:space="0" w:color="auto"/>
        <w:left w:val="none" w:sz="0" w:space="0" w:color="auto"/>
        <w:bottom w:val="none" w:sz="0" w:space="0" w:color="auto"/>
        <w:right w:val="none" w:sz="0" w:space="0" w:color="auto"/>
      </w:divBdr>
      <w:divsChild>
        <w:div w:id="1311253559">
          <w:marLeft w:val="0"/>
          <w:marRight w:val="0"/>
          <w:marTop w:val="0"/>
          <w:marBottom w:val="0"/>
          <w:divBdr>
            <w:top w:val="none" w:sz="0" w:space="0" w:color="auto"/>
            <w:left w:val="none" w:sz="0" w:space="0" w:color="auto"/>
            <w:bottom w:val="none" w:sz="0" w:space="0" w:color="auto"/>
            <w:right w:val="none" w:sz="0" w:space="0" w:color="auto"/>
          </w:divBdr>
          <w:divsChild>
            <w:div w:id="2015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A916-B859-470F-8F2B-922CE670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DF0F3DDE</Template>
  <TotalTime>23</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stanna</dc:creator>
  <cp:lastModifiedBy>srobinson</cp:lastModifiedBy>
  <cp:revision>4</cp:revision>
  <cp:lastPrinted>2018-07-17T11:00:00Z</cp:lastPrinted>
  <dcterms:created xsi:type="dcterms:W3CDTF">2018-07-17T11:21:00Z</dcterms:created>
  <dcterms:modified xsi:type="dcterms:W3CDTF">2018-08-10T11:20:00Z</dcterms:modified>
</cp:coreProperties>
</file>